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94" w:rsidRPr="008E58D8" w:rsidRDefault="000E5194" w:rsidP="008E16DB">
      <w:pPr>
        <w:tabs>
          <w:tab w:val="left" w:pos="567"/>
        </w:tabs>
        <w:spacing w:before="120" w:after="120"/>
        <w:jc w:val="right"/>
        <w:rPr>
          <w:rFonts w:ascii="Times New Roman" w:hAnsi="Times New Roman"/>
          <w:b/>
          <w:sz w:val="32"/>
          <w:szCs w:val="32"/>
        </w:rPr>
      </w:pPr>
    </w:p>
    <w:p w:rsidR="00D477FF" w:rsidRPr="00216E7D" w:rsidRDefault="008831EC" w:rsidP="008E16DB">
      <w:pPr>
        <w:tabs>
          <w:tab w:val="left" w:pos="567"/>
        </w:tabs>
        <w:spacing w:before="120" w:after="120"/>
        <w:jc w:val="center"/>
        <w:rPr>
          <w:rFonts w:ascii="Times New Roman" w:hAnsi="Times New Roman"/>
          <w:b/>
          <w:sz w:val="28"/>
          <w:szCs w:val="28"/>
        </w:rPr>
      </w:pPr>
      <w:r>
        <w:rPr>
          <w:rFonts w:ascii="Times New Roman" w:hAnsi="Times New Roman"/>
          <w:b/>
          <w:sz w:val="28"/>
          <w:szCs w:val="28"/>
        </w:rPr>
        <w:t>ĐÁNH GIÁ VIỆC TỔ CHỨC THỰC HIỆN DỊCH VỤ ĐÀO TẠO AN TOÀN BỨC XẠ TẠI V</w:t>
      </w:r>
      <w:bookmarkStart w:id="0" w:name="_GoBack"/>
      <w:bookmarkEnd w:id="0"/>
      <w:r>
        <w:rPr>
          <w:rFonts w:ascii="Times New Roman" w:hAnsi="Times New Roman"/>
          <w:b/>
          <w:sz w:val="28"/>
          <w:szCs w:val="28"/>
        </w:rPr>
        <w:t>I</w:t>
      </w:r>
      <w:r w:rsidR="00EF265E" w:rsidRPr="00216E7D">
        <w:rPr>
          <w:rFonts w:ascii="Times New Roman" w:hAnsi="Times New Roman"/>
          <w:b/>
          <w:sz w:val="28"/>
          <w:szCs w:val="28"/>
        </w:rPr>
        <w:t>ỆN NGHIÊN CỨU HẠT NHÂN</w:t>
      </w:r>
    </w:p>
    <w:p w:rsidR="00FB32A0" w:rsidRPr="0090316F" w:rsidRDefault="009D0F35" w:rsidP="008E16DB">
      <w:pPr>
        <w:tabs>
          <w:tab w:val="left" w:pos="567"/>
        </w:tabs>
        <w:spacing w:before="120" w:after="120"/>
        <w:jc w:val="center"/>
        <w:rPr>
          <w:rFonts w:ascii="Times New Roman" w:hAnsi="Times New Roman"/>
          <w:sz w:val="28"/>
          <w:szCs w:val="28"/>
        </w:rPr>
      </w:pPr>
      <w:proofErr w:type="spellStart"/>
      <w:r w:rsidRPr="0090316F">
        <w:rPr>
          <w:rFonts w:ascii="Times New Roman" w:hAnsi="Times New Roman"/>
          <w:sz w:val="28"/>
          <w:szCs w:val="28"/>
        </w:rPr>
        <w:t>Phan</w:t>
      </w:r>
      <w:proofErr w:type="spellEnd"/>
      <w:r w:rsidRPr="0090316F">
        <w:rPr>
          <w:rFonts w:ascii="Times New Roman" w:hAnsi="Times New Roman"/>
          <w:sz w:val="28"/>
          <w:szCs w:val="28"/>
        </w:rPr>
        <w:t xml:space="preserve"> </w:t>
      </w:r>
      <w:proofErr w:type="spellStart"/>
      <w:r w:rsidRPr="0090316F">
        <w:rPr>
          <w:rFonts w:ascii="Times New Roman" w:hAnsi="Times New Roman"/>
          <w:sz w:val="28"/>
          <w:szCs w:val="28"/>
        </w:rPr>
        <w:t>Sơn</w:t>
      </w:r>
      <w:proofErr w:type="spellEnd"/>
      <w:r w:rsidRPr="0090316F">
        <w:rPr>
          <w:rFonts w:ascii="Times New Roman" w:hAnsi="Times New Roman"/>
          <w:sz w:val="28"/>
          <w:szCs w:val="28"/>
        </w:rPr>
        <w:t xml:space="preserve"> </w:t>
      </w:r>
      <w:proofErr w:type="spellStart"/>
      <w:r w:rsidRPr="0090316F">
        <w:rPr>
          <w:rFonts w:ascii="Times New Roman" w:hAnsi="Times New Roman"/>
          <w:sz w:val="28"/>
          <w:szCs w:val="28"/>
        </w:rPr>
        <w:t>Hải</w:t>
      </w:r>
      <w:proofErr w:type="spellEnd"/>
      <w:r w:rsidRPr="0090316F">
        <w:rPr>
          <w:rFonts w:ascii="Times New Roman" w:hAnsi="Times New Roman"/>
          <w:sz w:val="28"/>
          <w:szCs w:val="28"/>
        </w:rPr>
        <w:t xml:space="preserve">, </w:t>
      </w:r>
      <w:proofErr w:type="spellStart"/>
      <w:r w:rsidRPr="0090316F">
        <w:rPr>
          <w:rFonts w:ascii="Times New Roman" w:hAnsi="Times New Roman"/>
          <w:sz w:val="28"/>
          <w:szCs w:val="28"/>
        </w:rPr>
        <w:t>Nguyễn</w:t>
      </w:r>
      <w:proofErr w:type="spellEnd"/>
      <w:r w:rsidRPr="0090316F">
        <w:rPr>
          <w:rFonts w:ascii="Times New Roman" w:hAnsi="Times New Roman"/>
          <w:sz w:val="28"/>
          <w:szCs w:val="28"/>
        </w:rPr>
        <w:t xml:space="preserve"> </w:t>
      </w:r>
      <w:proofErr w:type="spellStart"/>
      <w:r w:rsidRPr="0090316F">
        <w:rPr>
          <w:rFonts w:ascii="Times New Roman" w:hAnsi="Times New Roman"/>
          <w:sz w:val="28"/>
          <w:szCs w:val="28"/>
        </w:rPr>
        <w:t>Nhị</w:t>
      </w:r>
      <w:proofErr w:type="spellEnd"/>
      <w:r w:rsidRPr="0090316F">
        <w:rPr>
          <w:rFonts w:ascii="Times New Roman" w:hAnsi="Times New Roman"/>
          <w:sz w:val="28"/>
          <w:szCs w:val="28"/>
        </w:rPr>
        <w:t xml:space="preserve"> </w:t>
      </w:r>
      <w:proofErr w:type="spellStart"/>
      <w:r w:rsidRPr="0090316F">
        <w:rPr>
          <w:rFonts w:ascii="Times New Roman" w:hAnsi="Times New Roman"/>
          <w:sz w:val="28"/>
          <w:szCs w:val="28"/>
        </w:rPr>
        <w:t>Điền</w:t>
      </w:r>
      <w:proofErr w:type="spellEnd"/>
      <w:r w:rsidRPr="0090316F">
        <w:rPr>
          <w:rFonts w:ascii="Times New Roman" w:hAnsi="Times New Roman"/>
          <w:sz w:val="28"/>
          <w:szCs w:val="28"/>
        </w:rPr>
        <w:t xml:space="preserve">, </w:t>
      </w:r>
      <w:proofErr w:type="spellStart"/>
      <w:r w:rsidRPr="0090316F">
        <w:rPr>
          <w:rFonts w:ascii="Times New Roman" w:hAnsi="Times New Roman"/>
          <w:sz w:val="28"/>
          <w:szCs w:val="28"/>
        </w:rPr>
        <w:t>Nguyễn</w:t>
      </w:r>
      <w:proofErr w:type="spellEnd"/>
      <w:r w:rsidRPr="0090316F">
        <w:rPr>
          <w:rFonts w:ascii="Times New Roman" w:hAnsi="Times New Roman"/>
          <w:sz w:val="28"/>
          <w:szCs w:val="28"/>
        </w:rPr>
        <w:t xml:space="preserve"> </w:t>
      </w:r>
      <w:proofErr w:type="spellStart"/>
      <w:r w:rsidRPr="0090316F">
        <w:rPr>
          <w:rFonts w:ascii="Times New Roman" w:hAnsi="Times New Roman"/>
          <w:sz w:val="28"/>
          <w:szCs w:val="28"/>
        </w:rPr>
        <w:t>Xuân</w:t>
      </w:r>
      <w:proofErr w:type="spellEnd"/>
      <w:r w:rsidRPr="0090316F">
        <w:rPr>
          <w:rFonts w:ascii="Times New Roman" w:hAnsi="Times New Roman"/>
          <w:sz w:val="28"/>
          <w:szCs w:val="28"/>
        </w:rPr>
        <w:t xml:space="preserve"> </w:t>
      </w:r>
      <w:proofErr w:type="spellStart"/>
      <w:r w:rsidRPr="0090316F">
        <w:rPr>
          <w:rFonts w:ascii="Times New Roman" w:hAnsi="Times New Roman"/>
          <w:sz w:val="28"/>
          <w:szCs w:val="28"/>
        </w:rPr>
        <w:t>Hải</w:t>
      </w:r>
      <w:proofErr w:type="spellEnd"/>
      <w:r w:rsidRPr="0090316F">
        <w:rPr>
          <w:rFonts w:ascii="Times New Roman" w:hAnsi="Times New Roman"/>
          <w:sz w:val="28"/>
          <w:szCs w:val="28"/>
        </w:rPr>
        <w:t xml:space="preserve">, </w:t>
      </w:r>
      <w:proofErr w:type="spellStart"/>
      <w:r w:rsidRPr="0090316F">
        <w:rPr>
          <w:rFonts w:ascii="Times New Roman" w:hAnsi="Times New Roman"/>
          <w:sz w:val="28"/>
          <w:szCs w:val="28"/>
        </w:rPr>
        <w:t>Nguyễn</w:t>
      </w:r>
      <w:proofErr w:type="spellEnd"/>
      <w:r w:rsidRPr="0090316F">
        <w:rPr>
          <w:rFonts w:ascii="Times New Roman" w:hAnsi="Times New Roman"/>
          <w:sz w:val="28"/>
          <w:szCs w:val="28"/>
        </w:rPr>
        <w:t xml:space="preserve"> </w:t>
      </w:r>
      <w:proofErr w:type="spellStart"/>
      <w:r w:rsidRPr="0090316F">
        <w:rPr>
          <w:rFonts w:ascii="Times New Roman" w:hAnsi="Times New Roman"/>
          <w:sz w:val="28"/>
          <w:szCs w:val="28"/>
        </w:rPr>
        <w:t>Văn</w:t>
      </w:r>
      <w:proofErr w:type="spellEnd"/>
      <w:r w:rsidRPr="0090316F">
        <w:rPr>
          <w:rFonts w:ascii="Times New Roman" w:hAnsi="Times New Roman"/>
          <w:sz w:val="28"/>
          <w:szCs w:val="28"/>
        </w:rPr>
        <w:t xml:space="preserve"> </w:t>
      </w:r>
      <w:proofErr w:type="spellStart"/>
      <w:r w:rsidRPr="0090316F">
        <w:rPr>
          <w:rFonts w:ascii="Times New Roman" w:hAnsi="Times New Roman"/>
          <w:sz w:val="28"/>
          <w:szCs w:val="28"/>
        </w:rPr>
        <w:t>Hùng</w:t>
      </w:r>
      <w:proofErr w:type="spellEnd"/>
      <w:r w:rsidRPr="0090316F">
        <w:rPr>
          <w:rFonts w:ascii="Times New Roman" w:hAnsi="Times New Roman"/>
          <w:sz w:val="28"/>
          <w:szCs w:val="28"/>
        </w:rPr>
        <w:t xml:space="preserve">, </w:t>
      </w:r>
      <w:proofErr w:type="spellStart"/>
      <w:r w:rsidRPr="0090316F">
        <w:rPr>
          <w:rFonts w:ascii="Times New Roman" w:hAnsi="Times New Roman"/>
          <w:sz w:val="28"/>
          <w:szCs w:val="28"/>
        </w:rPr>
        <w:t>Nguyễn</w:t>
      </w:r>
      <w:proofErr w:type="spellEnd"/>
      <w:r w:rsidRPr="0090316F">
        <w:rPr>
          <w:rFonts w:ascii="Times New Roman" w:hAnsi="Times New Roman"/>
          <w:sz w:val="28"/>
          <w:szCs w:val="28"/>
        </w:rPr>
        <w:t xml:space="preserve"> </w:t>
      </w:r>
      <w:proofErr w:type="spellStart"/>
      <w:r w:rsidRPr="0090316F">
        <w:rPr>
          <w:rFonts w:ascii="Times New Roman" w:hAnsi="Times New Roman"/>
          <w:sz w:val="28"/>
          <w:szCs w:val="28"/>
        </w:rPr>
        <w:t>Thị</w:t>
      </w:r>
      <w:proofErr w:type="spellEnd"/>
      <w:r w:rsidRPr="0090316F">
        <w:rPr>
          <w:rFonts w:ascii="Times New Roman" w:hAnsi="Times New Roman"/>
          <w:sz w:val="28"/>
          <w:szCs w:val="28"/>
        </w:rPr>
        <w:t xml:space="preserve"> </w:t>
      </w:r>
      <w:proofErr w:type="spellStart"/>
      <w:r w:rsidRPr="0090316F">
        <w:rPr>
          <w:rFonts w:ascii="Times New Roman" w:hAnsi="Times New Roman"/>
          <w:sz w:val="28"/>
          <w:szCs w:val="28"/>
        </w:rPr>
        <w:t>Diệu</w:t>
      </w:r>
      <w:proofErr w:type="spellEnd"/>
      <w:r w:rsidRPr="0090316F">
        <w:rPr>
          <w:rFonts w:ascii="Times New Roman" w:hAnsi="Times New Roman"/>
          <w:sz w:val="28"/>
          <w:szCs w:val="28"/>
        </w:rPr>
        <w:t xml:space="preserve"> </w:t>
      </w:r>
      <w:proofErr w:type="spellStart"/>
      <w:r w:rsidRPr="0090316F">
        <w:rPr>
          <w:rFonts w:ascii="Times New Roman" w:hAnsi="Times New Roman"/>
          <w:sz w:val="28"/>
          <w:szCs w:val="28"/>
        </w:rPr>
        <w:t>Huyền</w:t>
      </w:r>
      <w:proofErr w:type="spellEnd"/>
      <w:r w:rsidRPr="0090316F">
        <w:rPr>
          <w:rFonts w:ascii="Times New Roman" w:hAnsi="Times New Roman"/>
          <w:sz w:val="28"/>
          <w:szCs w:val="28"/>
        </w:rPr>
        <w:t xml:space="preserve">, </w:t>
      </w:r>
      <w:proofErr w:type="spellStart"/>
      <w:r w:rsidRPr="0090316F">
        <w:rPr>
          <w:rFonts w:ascii="Times New Roman" w:hAnsi="Times New Roman"/>
          <w:sz w:val="28"/>
          <w:szCs w:val="28"/>
        </w:rPr>
        <w:t>Đặng</w:t>
      </w:r>
      <w:proofErr w:type="spellEnd"/>
      <w:r w:rsidRPr="0090316F">
        <w:rPr>
          <w:rFonts w:ascii="Times New Roman" w:hAnsi="Times New Roman"/>
          <w:sz w:val="28"/>
          <w:szCs w:val="28"/>
        </w:rPr>
        <w:t xml:space="preserve"> </w:t>
      </w:r>
      <w:proofErr w:type="spellStart"/>
      <w:r w:rsidRPr="0090316F">
        <w:rPr>
          <w:rFonts w:ascii="Times New Roman" w:hAnsi="Times New Roman"/>
          <w:sz w:val="28"/>
          <w:szCs w:val="28"/>
        </w:rPr>
        <w:t>Thị</w:t>
      </w:r>
      <w:proofErr w:type="spellEnd"/>
      <w:r w:rsidRPr="0090316F">
        <w:rPr>
          <w:rFonts w:ascii="Times New Roman" w:hAnsi="Times New Roman"/>
          <w:sz w:val="28"/>
          <w:szCs w:val="28"/>
        </w:rPr>
        <w:t xml:space="preserve"> </w:t>
      </w:r>
      <w:proofErr w:type="spellStart"/>
      <w:r w:rsidRPr="0090316F">
        <w:rPr>
          <w:rFonts w:ascii="Times New Roman" w:hAnsi="Times New Roman"/>
          <w:sz w:val="28"/>
          <w:szCs w:val="28"/>
        </w:rPr>
        <w:t>Tú</w:t>
      </w:r>
      <w:proofErr w:type="spellEnd"/>
    </w:p>
    <w:p w:rsidR="009D0F35" w:rsidRPr="006C1C10" w:rsidRDefault="009D0F35" w:rsidP="008E16DB">
      <w:pPr>
        <w:tabs>
          <w:tab w:val="left" w:pos="567"/>
        </w:tabs>
        <w:spacing w:before="120" w:after="120"/>
        <w:jc w:val="center"/>
        <w:rPr>
          <w:rFonts w:ascii="Times New Roman" w:hAnsi="Times New Roman"/>
          <w:i/>
          <w:sz w:val="28"/>
          <w:szCs w:val="28"/>
        </w:rPr>
      </w:pPr>
      <w:proofErr w:type="spellStart"/>
      <w:r w:rsidRPr="006C1C10">
        <w:rPr>
          <w:rFonts w:ascii="Times New Roman" w:hAnsi="Times New Roman"/>
          <w:i/>
          <w:sz w:val="28"/>
          <w:szCs w:val="28"/>
        </w:rPr>
        <w:t>Viện</w:t>
      </w:r>
      <w:proofErr w:type="spellEnd"/>
      <w:r w:rsidRPr="006C1C10">
        <w:rPr>
          <w:rFonts w:ascii="Times New Roman" w:hAnsi="Times New Roman"/>
          <w:i/>
          <w:sz w:val="28"/>
          <w:szCs w:val="28"/>
        </w:rPr>
        <w:t xml:space="preserve"> </w:t>
      </w:r>
      <w:proofErr w:type="spellStart"/>
      <w:r w:rsidRPr="006C1C10">
        <w:rPr>
          <w:rFonts w:ascii="Times New Roman" w:hAnsi="Times New Roman"/>
          <w:i/>
          <w:sz w:val="28"/>
          <w:szCs w:val="28"/>
        </w:rPr>
        <w:t>Nghiên</w:t>
      </w:r>
      <w:proofErr w:type="spellEnd"/>
      <w:r w:rsidRPr="006C1C10">
        <w:rPr>
          <w:rFonts w:ascii="Times New Roman" w:hAnsi="Times New Roman"/>
          <w:i/>
          <w:sz w:val="28"/>
          <w:szCs w:val="28"/>
        </w:rPr>
        <w:t xml:space="preserve"> </w:t>
      </w:r>
      <w:proofErr w:type="spellStart"/>
      <w:r w:rsidRPr="006C1C10">
        <w:rPr>
          <w:rFonts w:ascii="Times New Roman" w:hAnsi="Times New Roman"/>
          <w:i/>
          <w:sz w:val="28"/>
          <w:szCs w:val="28"/>
        </w:rPr>
        <w:t>cứu</w:t>
      </w:r>
      <w:proofErr w:type="spellEnd"/>
      <w:r w:rsidRPr="006C1C10">
        <w:rPr>
          <w:rFonts w:ascii="Times New Roman" w:hAnsi="Times New Roman"/>
          <w:i/>
          <w:sz w:val="28"/>
          <w:szCs w:val="28"/>
        </w:rPr>
        <w:t xml:space="preserve"> </w:t>
      </w:r>
      <w:proofErr w:type="spellStart"/>
      <w:r w:rsidR="003336CD" w:rsidRPr="003336CD">
        <w:rPr>
          <w:rFonts w:ascii="Times New Roman" w:hAnsi="Times New Roman"/>
          <w:i/>
          <w:sz w:val="28"/>
          <w:szCs w:val="28"/>
        </w:rPr>
        <w:t>h</w:t>
      </w:r>
      <w:r w:rsidRPr="003336CD">
        <w:rPr>
          <w:rFonts w:ascii="Times New Roman" w:hAnsi="Times New Roman"/>
          <w:i/>
          <w:sz w:val="28"/>
          <w:szCs w:val="28"/>
        </w:rPr>
        <w:t>ạt</w:t>
      </w:r>
      <w:proofErr w:type="spellEnd"/>
      <w:r w:rsidRPr="006C1C10">
        <w:rPr>
          <w:rFonts w:ascii="Times New Roman" w:hAnsi="Times New Roman"/>
          <w:i/>
          <w:sz w:val="28"/>
          <w:szCs w:val="28"/>
        </w:rPr>
        <w:t xml:space="preserve"> </w:t>
      </w:r>
      <w:proofErr w:type="spellStart"/>
      <w:r w:rsidRPr="006C1C10">
        <w:rPr>
          <w:rFonts w:ascii="Times New Roman" w:hAnsi="Times New Roman"/>
          <w:i/>
          <w:sz w:val="28"/>
          <w:szCs w:val="28"/>
        </w:rPr>
        <w:t>nhân</w:t>
      </w:r>
      <w:proofErr w:type="spellEnd"/>
      <w:r w:rsidR="0090316F" w:rsidRPr="006C1C10">
        <w:rPr>
          <w:rFonts w:ascii="Times New Roman" w:hAnsi="Times New Roman"/>
          <w:i/>
          <w:sz w:val="28"/>
          <w:szCs w:val="28"/>
        </w:rPr>
        <w:t xml:space="preserve">, 01 </w:t>
      </w:r>
      <w:proofErr w:type="spellStart"/>
      <w:r w:rsidR="0090316F" w:rsidRPr="006C1C10">
        <w:rPr>
          <w:rFonts w:ascii="Times New Roman" w:hAnsi="Times New Roman"/>
          <w:i/>
          <w:sz w:val="28"/>
          <w:szCs w:val="28"/>
        </w:rPr>
        <w:t>Nguyên</w:t>
      </w:r>
      <w:proofErr w:type="spellEnd"/>
      <w:r w:rsidR="0090316F" w:rsidRPr="006C1C10">
        <w:rPr>
          <w:rFonts w:ascii="Times New Roman" w:hAnsi="Times New Roman"/>
          <w:i/>
          <w:sz w:val="28"/>
          <w:szCs w:val="28"/>
        </w:rPr>
        <w:t xml:space="preserve"> </w:t>
      </w:r>
      <w:proofErr w:type="spellStart"/>
      <w:r w:rsidR="0090316F" w:rsidRPr="006C1C10">
        <w:rPr>
          <w:rFonts w:ascii="Times New Roman" w:hAnsi="Times New Roman"/>
          <w:i/>
          <w:sz w:val="28"/>
          <w:szCs w:val="28"/>
        </w:rPr>
        <w:t>Tử</w:t>
      </w:r>
      <w:proofErr w:type="spellEnd"/>
      <w:r w:rsidR="0090316F" w:rsidRPr="006C1C10">
        <w:rPr>
          <w:rFonts w:ascii="Times New Roman" w:hAnsi="Times New Roman"/>
          <w:i/>
          <w:sz w:val="28"/>
          <w:szCs w:val="28"/>
        </w:rPr>
        <w:t xml:space="preserve"> </w:t>
      </w:r>
      <w:proofErr w:type="spellStart"/>
      <w:r w:rsidR="0090316F" w:rsidRPr="006C1C10">
        <w:rPr>
          <w:rFonts w:ascii="Times New Roman" w:hAnsi="Times New Roman"/>
          <w:i/>
          <w:sz w:val="28"/>
          <w:szCs w:val="28"/>
        </w:rPr>
        <w:t>Lực</w:t>
      </w:r>
      <w:proofErr w:type="spellEnd"/>
      <w:r w:rsidR="0090316F" w:rsidRPr="006C1C10">
        <w:rPr>
          <w:rFonts w:ascii="Times New Roman" w:hAnsi="Times New Roman"/>
          <w:i/>
          <w:sz w:val="28"/>
          <w:szCs w:val="28"/>
        </w:rPr>
        <w:t>,</w:t>
      </w:r>
      <w:r w:rsidRPr="006C1C10">
        <w:rPr>
          <w:rFonts w:ascii="Times New Roman" w:hAnsi="Times New Roman"/>
          <w:i/>
          <w:sz w:val="28"/>
          <w:szCs w:val="28"/>
        </w:rPr>
        <w:t xml:space="preserve"> </w:t>
      </w:r>
      <w:proofErr w:type="spellStart"/>
      <w:r w:rsidRPr="006C1C10">
        <w:rPr>
          <w:rFonts w:ascii="Times New Roman" w:hAnsi="Times New Roman"/>
          <w:i/>
          <w:sz w:val="28"/>
          <w:szCs w:val="28"/>
        </w:rPr>
        <w:t>Đà</w:t>
      </w:r>
      <w:proofErr w:type="spellEnd"/>
      <w:r w:rsidRPr="006C1C10">
        <w:rPr>
          <w:rFonts w:ascii="Times New Roman" w:hAnsi="Times New Roman"/>
          <w:i/>
          <w:sz w:val="28"/>
          <w:szCs w:val="28"/>
        </w:rPr>
        <w:t xml:space="preserve"> </w:t>
      </w:r>
      <w:proofErr w:type="spellStart"/>
      <w:r w:rsidRPr="006C1C10">
        <w:rPr>
          <w:rFonts w:ascii="Times New Roman" w:hAnsi="Times New Roman"/>
          <w:i/>
          <w:sz w:val="28"/>
          <w:szCs w:val="28"/>
        </w:rPr>
        <w:t>Lạt</w:t>
      </w:r>
      <w:proofErr w:type="spellEnd"/>
    </w:p>
    <w:p w:rsidR="006C1C10" w:rsidRDefault="006C1C10" w:rsidP="008E16DB">
      <w:pPr>
        <w:tabs>
          <w:tab w:val="left" w:pos="567"/>
        </w:tabs>
        <w:spacing w:before="120" w:after="120"/>
        <w:ind w:left="567" w:right="567"/>
        <w:jc w:val="both"/>
        <w:rPr>
          <w:rFonts w:ascii="Times New Roman" w:hAnsi="Times New Roman"/>
          <w:b/>
          <w:i/>
          <w:szCs w:val="24"/>
        </w:rPr>
      </w:pPr>
    </w:p>
    <w:p w:rsidR="003336CD" w:rsidRPr="006C1C10" w:rsidRDefault="003336CD" w:rsidP="008E16DB">
      <w:pPr>
        <w:tabs>
          <w:tab w:val="left" w:pos="567"/>
        </w:tabs>
        <w:spacing w:before="120" w:after="120"/>
        <w:ind w:left="567" w:right="567"/>
        <w:jc w:val="both"/>
        <w:rPr>
          <w:rFonts w:ascii="Times New Roman" w:hAnsi="Times New Roman"/>
          <w:i/>
          <w:szCs w:val="24"/>
        </w:rPr>
      </w:pPr>
      <w:proofErr w:type="spellStart"/>
      <w:r w:rsidRPr="006C1C10">
        <w:rPr>
          <w:rFonts w:ascii="Times New Roman" w:hAnsi="Times New Roman"/>
          <w:b/>
          <w:i/>
          <w:szCs w:val="24"/>
        </w:rPr>
        <w:t>Tóm</w:t>
      </w:r>
      <w:proofErr w:type="spellEnd"/>
      <w:r w:rsidRPr="006C1C10">
        <w:rPr>
          <w:rFonts w:ascii="Times New Roman" w:hAnsi="Times New Roman"/>
          <w:b/>
          <w:i/>
          <w:szCs w:val="24"/>
        </w:rPr>
        <w:t xml:space="preserve"> </w:t>
      </w:r>
      <w:proofErr w:type="spellStart"/>
      <w:r w:rsidRPr="006C1C10">
        <w:rPr>
          <w:rFonts w:ascii="Times New Roman" w:hAnsi="Times New Roman"/>
          <w:b/>
          <w:i/>
          <w:szCs w:val="24"/>
        </w:rPr>
        <w:t>tắt</w:t>
      </w:r>
      <w:proofErr w:type="spellEnd"/>
      <w:r w:rsidRPr="006C1C10">
        <w:rPr>
          <w:rFonts w:ascii="Times New Roman" w:hAnsi="Times New Roman"/>
          <w:b/>
          <w:i/>
          <w:szCs w:val="24"/>
        </w:rPr>
        <w:t>:</w:t>
      </w:r>
      <w:r w:rsidRPr="006C1C10">
        <w:rPr>
          <w:rFonts w:ascii="Times New Roman" w:hAnsi="Times New Roman"/>
          <w:i/>
          <w:szCs w:val="24"/>
        </w:rPr>
        <w:t xml:space="preserve"> </w:t>
      </w:r>
      <w:proofErr w:type="spellStart"/>
      <w:r w:rsidRPr="006C1C10">
        <w:rPr>
          <w:rFonts w:ascii="Times New Roman" w:hAnsi="Times New Roman"/>
          <w:i/>
          <w:szCs w:val="24"/>
        </w:rPr>
        <w:t>Báo</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cáo</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trình</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bày</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công</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tác</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tổ</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chức</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thực</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hiện</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và</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đảm</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bảo</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chất</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lượng</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các</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khóa</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đào</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tạo</w:t>
      </w:r>
      <w:proofErr w:type="spellEnd"/>
      <w:r w:rsidRPr="006C1C10">
        <w:rPr>
          <w:rFonts w:ascii="Times New Roman" w:hAnsi="Times New Roman"/>
          <w:i/>
          <w:szCs w:val="24"/>
        </w:rPr>
        <w:t xml:space="preserve"> </w:t>
      </w:r>
      <w:proofErr w:type="gramStart"/>
      <w:r w:rsidRPr="006C1C10">
        <w:rPr>
          <w:rFonts w:ascii="Times New Roman" w:hAnsi="Times New Roman"/>
          <w:i/>
          <w:szCs w:val="24"/>
        </w:rPr>
        <w:t>an</w:t>
      </w:r>
      <w:proofErr w:type="gramEnd"/>
      <w:r w:rsidRPr="006C1C10">
        <w:rPr>
          <w:rFonts w:ascii="Times New Roman" w:hAnsi="Times New Roman"/>
          <w:i/>
          <w:szCs w:val="24"/>
        </w:rPr>
        <w:t xml:space="preserve"> </w:t>
      </w:r>
      <w:proofErr w:type="spellStart"/>
      <w:r w:rsidRPr="006C1C10">
        <w:rPr>
          <w:rFonts w:ascii="Times New Roman" w:hAnsi="Times New Roman"/>
          <w:i/>
          <w:szCs w:val="24"/>
        </w:rPr>
        <w:t>toàn</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bức</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xạ</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cho</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nhân</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viên</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bức</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xạ</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theo</w:t>
      </w:r>
      <w:proofErr w:type="spellEnd"/>
      <w:r w:rsidRPr="006C1C10">
        <w:rPr>
          <w:rFonts w:ascii="Times New Roman" w:hAnsi="Times New Roman"/>
          <w:i/>
          <w:szCs w:val="24"/>
        </w:rPr>
        <w:t xml:space="preserve"> </w:t>
      </w:r>
      <w:proofErr w:type="spellStart"/>
      <w:r>
        <w:rPr>
          <w:rFonts w:ascii="Times New Roman" w:hAnsi="Times New Roman"/>
          <w:i/>
          <w:szCs w:val="24"/>
        </w:rPr>
        <w:t>Thông</w:t>
      </w:r>
      <w:proofErr w:type="spellEnd"/>
      <w:r>
        <w:rPr>
          <w:rFonts w:ascii="Times New Roman" w:hAnsi="Times New Roman"/>
          <w:i/>
          <w:szCs w:val="24"/>
        </w:rPr>
        <w:t xml:space="preserve"> </w:t>
      </w:r>
      <w:proofErr w:type="spellStart"/>
      <w:r>
        <w:rPr>
          <w:rFonts w:ascii="Times New Roman" w:hAnsi="Times New Roman"/>
          <w:i/>
          <w:szCs w:val="24"/>
        </w:rPr>
        <w:t>tư</w:t>
      </w:r>
      <w:proofErr w:type="spellEnd"/>
      <w:r>
        <w:rPr>
          <w:rFonts w:ascii="Times New Roman" w:hAnsi="Times New Roman"/>
          <w:i/>
          <w:szCs w:val="24"/>
        </w:rPr>
        <w:t xml:space="preserve"> </w:t>
      </w:r>
      <w:proofErr w:type="spellStart"/>
      <w:r>
        <w:rPr>
          <w:rFonts w:ascii="Times New Roman" w:hAnsi="Times New Roman"/>
          <w:i/>
          <w:szCs w:val="24"/>
        </w:rPr>
        <w:t>số</w:t>
      </w:r>
      <w:proofErr w:type="spellEnd"/>
      <w:r>
        <w:rPr>
          <w:rFonts w:ascii="Times New Roman" w:hAnsi="Times New Roman"/>
          <w:i/>
          <w:szCs w:val="24"/>
        </w:rPr>
        <w:t xml:space="preserve"> </w:t>
      </w:r>
      <w:r w:rsidRPr="00E97821">
        <w:rPr>
          <w:rFonts w:ascii="Times New Roman" w:hAnsi="Times New Roman"/>
          <w:i/>
          <w:iCs/>
          <w:color w:val="000000"/>
          <w:spacing w:val="1"/>
          <w:szCs w:val="24"/>
          <w:lang w:val="pt-BR"/>
        </w:rPr>
        <w:t>34/2014/TT-BKHCN</w:t>
      </w:r>
      <w:r w:rsidRPr="006C1C10">
        <w:rPr>
          <w:rFonts w:ascii="Times New Roman" w:hAnsi="Times New Roman"/>
          <w:iCs/>
          <w:color w:val="000000"/>
          <w:spacing w:val="1"/>
          <w:szCs w:val="24"/>
          <w:lang w:val="pt-BR"/>
        </w:rPr>
        <w:t xml:space="preserve"> do Viện </w:t>
      </w:r>
      <w:proofErr w:type="spellStart"/>
      <w:r w:rsidRPr="006C1C10">
        <w:rPr>
          <w:rFonts w:ascii="Times New Roman" w:hAnsi="Times New Roman"/>
          <w:i/>
          <w:szCs w:val="24"/>
        </w:rPr>
        <w:t>Nghiên</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cứu</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hạt</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nhân</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tổ</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chức</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Nội</w:t>
      </w:r>
      <w:proofErr w:type="spellEnd"/>
      <w:r w:rsidRPr="006C1C10">
        <w:rPr>
          <w:rFonts w:ascii="Times New Roman" w:hAnsi="Times New Roman"/>
          <w:i/>
          <w:szCs w:val="24"/>
        </w:rPr>
        <w:t xml:space="preserve"> dung </w:t>
      </w:r>
      <w:proofErr w:type="spellStart"/>
      <w:r w:rsidRPr="006C1C10">
        <w:rPr>
          <w:rFonts w:ascii="Times New Roman" w:hAnsi="Times New Roman"/>
          <w:i/>
          <w:szCs w:val="24"/>
        </w:rPr>
        <w:t>báo</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cáo</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gồm</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thông</w:t>
      </w:r>
      <w:proofErr w:type="spellEnd"/>
      <w:r w:rsidRPr="006C1C10">
        <w:rPr>
          <w:rFonts w:ascii="Times New Roman" w:hAnsi="Times New Roman"/>
          <w:i/>
          <w:szCs w:val="24"/>
        </w:rPr>
        <w:t xml:space="preserve"> tin </w:t>
      </w:r>
      <w:proofErr w:type="spellStart"/>
      <w:r w:rsidRPr="006C1C10">
        <w:rPr>
          <w:rFonts w:ascii="Times New Roman" w:hAnsi="Times New Roman"/>
          <w:i/>
          <w:szCs w:val="24"/>
        </w:rPr>
        <w:t>về</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tổ</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chức</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và</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quản</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lý</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các</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khóa</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đào</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tạo</w:t>
      </w:r>
      <w:proofErr w:type="spellEnd"/>
      <w:r w:rsidRPr="006C1C10">
        <w:rPr>
          <w:rFonts w:ascii="Times New Roman" w:hAnsi="Times New Roman"/>
          <w:i/>
          <w:szCs w:val="24"/>
        </w:rPr>
        <w:t xml:space="preserve"> </w:t>
      </w:r>
      <w:proofErr w:type="gramStart"/>
      <w:r>
        <w:rPr>
          <w:rFonts w:ascii="Times New Roman" w:hAnsi="Times New Roman"/>
          <w:i/>
          <w:szCs w:val="24"/>
        </w:rPr>
        <w:t>an</w:t>
      </w:r>
      <w:proofErr w:type="gramEnd"/>
      <w:r>
        <w:rPr>
          <w:rFonts w:ascii="Times New Roman" w:hAnsi="Times New Roman"/>
          <w:i/>
          <w:szCs w:val="24"/>
        </w:rPr>
        <w:t xml:space="preserve"> </w:t>
      </w:r>
      <w:proofErr w:type="spellStart"/>
      <w:r>
        <w:rPr>
          <w:rFonts w:ascii="Times New Roman" w:hAnsi="Times New Roman"/>
          <w:i/>
          <w:szCs w:val="24"/>
        </w:rPr>
        <w:t>toàn</w:t>
      </w:r>
      <w:proofErr w:type="spellEnd"/>
      <w:r>
        <w:rPr>
          <w:rFonts w:ascii="Times New Roman" w:hAnsi="Times New Roman"/>
          <w:i/>
          <w:szCs w:val="24"/>
        </w:rPr>
        <w:t xml:space="preserve"> </w:t>
      </w:r>
      <w:proofErr w:type="spellStart"/>
      <w:r>
        <w:rPr>
          <w:rFonts w:ascii="Times New Roman" w:hAnsi="Times New Roman"/>
          <w:i/>
          <w:szCs w:val="24"/>
        </w:rPr>
        <w:t>bức</w:t>
      </w:r>
      <w:proofErr w:type="spellEnd"/>
      <w:r>
        <w:rPr>
          <w:rFonts w:ascii="Times New Roman" w:hAnsi="Times New Roman"/>
          <w:i/>
          <w:szCs w:val="24"/>
        </w:rPr>
        <w:t xml:space="preserve"> </w:t>
      </w:r>
      <w:proofErr w:type="spellStart"/>
      <w:r>
        <w:rPr>
          <w:rFonts w:ascii="Times New Roman" w:hAnsi="Times New Roman"/>
          <w:i/>
          <w:szCs w:val="24"/>
        </w:rPr>
        <w:t>xạ</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trong</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các</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năm</w:t>
      </w:r>
      <w:proofErr w:type="spellEnd"/>
      <w:r w:rsidRPr="006C1C10">
        <w:rPr>
          <w:rFonts w:ascii="Times New Roman" w:hAnsi="Times New Roman"/>
          <w:i/>
          <w:szCs w:val="24"/>
        </w:rPr>
        <w:t xml:space="preserve"> 2015, 2016 </w:t>
      </w:r>
      <w:proofErr w:type="spellStart"/>
      <w:r w:rsidRPr="006C1C10">
        <w:rPr>
          <w:rFonts w:ascii="Times New Roman" w:hAnsi="Times New Roman"/>
          <w:i/>
          <w:szCs w:val="24"/>
        </w:rPr>
        <w:t>và</w:t>
      </w:r>
      <w:proofErr w:type="spellEnd"/>
      <w:r w:rsidRPr="006C1C10">
        <w:rPr>
          <w:rFonts w:ascii="Times New Roman" w:hAnsi="Times New Roman"/>
          <w:i/>
          <w:szCs w:val="24"/>
        </w:rPr>
        <w:t xml:space="preserve"> 2017 </w:t>
      </w:r>
      <w:proofErr w:type="spellStart"/>
      <w:r w:rsidRPr="006C1C10">
        <w:rPr>
          <w:rFonts w:ascii="Times New Roman" w:hAnsi="Times New Roman"/>
          <w:i/>
          <w:szCs w:val="24"/>
        </w:rPr>
        <w:t>tại</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Viện</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Nghiên</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cứu</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hạt</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nhân</w:t>
      </w:r>
      <w:proofErr w:type="spellEnd"/>
      <w:r w:rsidRPr="006C1C10">
        <w:rPr>
          <w:rFonts w:ascii="Times New Roman" w:hAnsi="Times New Roman"/>
          <w:i/>
          <w:szCs w:val="24"/>
        </w:rPr>
        <w:t>.</w:t>
      </w:r>
    </w:p>
    <w:p w:rsidR="003336CD" w:rsidRPr="006C1C10" w:rsidRDefault="003336CD" w:rsidP="008E16DB">
      <w:pPr>
        <w:tabs>
          <w:tab w:val="left" w:pos="567"/>
        </w:tabs>
        <w:spacing w:before="120" w:after="120"/>
        <w:ind w:left="567" w:right="567"/>
        <w:jc w:val="both"/>
        <w:rPr>
          <w:rFonts w:ascii="Times New Roman" w:hAnsi="Times New Roman"/>
          <w:i/>
          <w:szCs w:val="24"/>
        </w:rPr>
      </w:pPr>
      <w:proofErr w:type="spellStart"/>
      <w:r w:rsidRPr="006C1C10">
        <w:rPr>
          <w:rFonts w:ascii="Times New Roman" w:hAnsi="Times New Roman"/>
          <w:b/>
          <w:i/>
          <w:szCs w:val="24"/>
        </w:rPr>
        <w:t>Từ</w:t>
      </w:r>
      <w:proofErr w:type="spellEnd"/>
      <w:r w:rsidRPr="006C1C10">
        <w:rPr>
          <w:rFonts w:ascii="Times New Roman" w:hAnsi="Times New Roman"/>
          <w:b/>
          <w:i/>
          <w:szCs w:val="24"/>
        </w:rPr>
        <w:t xml:space="preserve"> </w:t>
      </w:r>
      <w:proofErr w:type="spellStart"/>
      <w:r w:rsidRPr="006C1C10">
        <w:rPr>
          <w:rFonts w:ascii="Times New Roman" w:hAnsi="Times New Roman"/>
          <w:b/>
          <w:i/>
          <w:szCs w:val="24"/>
        </w:rPr>
        <w:t>khóa</w:t>
      </w:r>
      <w:proofErr w:type="spellEnd"/>
      <w:r w:rsidRPr="006C1C10">
        <w:rPr>
          <w:rFonts w:ascii="Times New Roman" w:hAnsi="Times New Roman"/>
          <w:b/>
          <w:i/>
          <w:szCs w:val="24"/>
        </w:rPr>
        <w:t>:</w:t>
      </w:r>
      <w:r w:rsidRPr="006C1C10">
        <w:rPr>
          <w:rFonts w:ascii="Times New Roman" w:hAnsi="Times New Roman"/>
          <w:i/>
          <w:szCs w:val="24"/>
        </w:rPr>
        <w:t xml:space="preserve"> </w:t>
      </w:r>
      <w:proofErr w:type="spellStart"/>
      <w:r w:rsidRPr="006C1C10">
        <w:rPr>
          <w:rFonts w:ascii="Times New Roman" w:hAnsi="Times New Roman"/>
          <w:i/>
          <w:szCs w:val="24"/>
        </w:rPr>
        <w:t>Đào</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tạo</w:t>
      </w:r>
      <w:proofErr w:type="spellEnd"/>
      <w:r w:rsidRPr="006C1C10">
        <w:rPr>
          <w:rFonts w:ascii="Times New Roman" w:hAnsi="Times New Roman"/>
          <w:i/>
          <w:szCs w:val="24"/>
        </w:rPr>
        <w:t xml:space="preserve"> </w:t>
      </w:r>
      <w:proofErr w:type="gramStart"/>
      <w:r w:rsidRPr="006C1C10">
        <w:rPr>
          <w:rFonts w:ascii="Times New Roman" w:hAnsi="Times New Roman"/>
          <w:i/>
          <w:szCs w:val="24"/>
        </w:rPr>
        <w:t>A</w:t>
      </w:r>
      <w:r>
        <w:rPr>
          <w:rFonts w:ascii="Times New Roman" w:hAnsi="Times New Roman"/>
          <w:i/>
          <w:szCs w:val="24"/>
        </w:rPr>
        <w:t>n</w:t>
      </w:r>
      <w:proofErr w:type="gramEnd"/>
      <w:r>
        <w:rPr>
          <w:rFonts w:ascii="Times New Roman" w:hAnsi="Times New Roman"/>
          <w:i/>
          <w:szCs w:val="24"/>
        </w:rPr>
        <w:t xml:space="preserve"> </w:t>
      </w:r>
      <w:proofErr w:type="spellStart"/>
      <w:r>
        <w:rPr>
          <w:rFonts w:ascii="Times New Roman" w:hAnsi="Times New Roman"/>
          <w:i/>
          <w:szCs w:val="24"/>
        </w:rPr>
        <w:t>toàn</w:t>
      </w:r>
      <w:proofErr w:type="spellEnd"/>
      <w:r>
        <w:rPr>
          <w:rFonts w:ascii="Times New Roman" w:hAnsi="Times New Roman"/>
          <w:i/>
          <w:szCs w:val="24"/>
        </w:rPr>
        <w:t xml:space="preserve"> </w:t>
      </w:r>
      <w:proofErr w:type="spellStart"/>
      <w:r>
        <w:rPr>
          <w:rFonts w:ascii="Times New Roman" w:hAnsi="Times New Roman"/>
          <w:i/>
          <w:szCs w:val="24"/>
        </w:rPr>
        <w:t>bức</w:t>
      </w:r>
      <w:proofErr w:type="spellEnd"/>
      <w:r>
        <w:rPr>
          <w:rFonts w:ascii="Times New Roman" w:hAnsi="Times New Roman"/>
          <w:i/>
          <w:szCs w:val="24"/>
        </w:rPr>
        <w:t xml:space="preserve"> </w:t>
      </w:r>
      <w:proofErr w:type="spellStart"/>
      <w:r>
        <w:rPr>
          <w:rFonts w:ascii="Times New Roman" w:hAnsi="Times New Roman"/>
          <w:i/>
          <w:szCs w:val="24"/>
        </w:rPr>
        <w:t>xạ</w:t>
      </w:r>
      <w:proofErr w:type="spellEnd"/>
      <w:r w:rsidRPr="006C1C10">
        <w:rPr>
          <w:rFonts w:ascii="Times New Roman" w:hAnsi="Times New Roman"/>
          <w:i/>
          <w:szCs w:val="24"/>
        </w:rPr>
        <w:t xml:space="preserve">, </w:t>
      </w:r>
      <w:proofErr w:type="spellStart"/>
      <w:r w:rsidRPr="006C1C10">
        <w:rPr>
          <w:rFonts w:ascii="Times New Roman" w:hAnsi="Times New Roman"/>
          <w:i/>
          <w:szCs w:val="24"/>
        </w:rPr>
        <w:t>N</w:t>
      </w:r>
      <w:r>
        <w:rPr>
          <w:rFonts w:ascii="Times New Roman" w:hAnsi="Times New Roman"/>
          <w:i/>
          <w:szCs w:val="24"/>
        </w:rPr>
        <w:t>hân</w:t>
      </w:r>
      <w:proofErr w:type="spellEnd"/>
      <w:r>
        <w:rPr>
          <w:rFonts w:ascii="Times New Roman" w:hAnsi="Times New Roman"/>
          <w:i/>
          <w:szCs w:val="24"/>
        </w:rPr>
        <w:t xml:space="preserve"> </w:t>
      </w:r>
      <w:proofErr w:type="spellStart"/>
      <w:r>
        <w:rPr>
          <w:rFonts w:ascii="Times New Roman" w:hAnsi="Times New Roman"/>
          <w:i/>
          <w:szCs w:val="24"/>
        </w:rPr>
        <w:t>viên</w:t>
      </w:r>
      <w:proofErr w:type="spellEnd"/>
      <w:r>
        <w:rPr>
          <w:rFonts w:ascii="Times New Roman" w:hAnsi="Times New Roman"/>
          <w:i/>
          <w:szCs w:val="24"/>
        </w:rPr>
        <w:t xml:space="preserve"> </w:t>
      </w:r>
      <w:proofErr w:type="spellStart"/>
      <w:r>
        <w:rPr>
          <w:rFonts w:ascii="Times New Roman" w:hAnsi="Times New Roman"/>
          <w:i/>
          <w:szCs w:val="24"/>
        </w:rPr>
        <w:t>bức</w:t>
      </w:r>
      <w:proofErr w:type="spellEnd"/>
      <w:r>
        <w:rPr>
          <w:rFonts w:ascii="Times New Roman" w:hAnsi="Times New Roman"/>
          <w:i/>
          <w:szCs w:val="24"/>
        </w:rPr>
        <w:t xml:space="preserve"> </w:t>
      </w:r>
      <w:proofErr w:type="spellStart"/>
      <w:r>
        <w:rPr>
          <w:rFonts w:ascii="Times New Roman" w:hAnsi="Times New Roman"/>
          <w:i/>
          <w:szCs w:val="24"/>
        </w:rPr>
        <w:t>xạ</w:t>
      </w:r>
      <w:proofErr w:type="spellEnd"/>
      <w:r>
        <w:rPr>
          <w:rFonts w:ascii="Times New Roman" w:hAnsi="Times New Roman"/>
          <w:i/>
          <w:szCs w:val="24"/>
        </w:rPr>
        <w:t xml:space="preserve">, </w:t>
      </w:r>
      <w:proofErr w:type="spellStart"/>
      <w:r>
        <w:rPr>
          <w:rFonts w:ascii="Times New Roman" w:hAnsi="Times New Roman"/>
          <w:i/>
          <w:szCs w:val="24"/>
        </w:rPr>
        <w:t>Thông</w:t>
      </w:r>
      <w:proofErr w:type="spellEnd"/>
      <w:r>
        <w:rPr>
          <w:rFonts w:ascii="Times New Roman" w:hAnsi="Times New Roman"/>
          <w:i/>
          <w:szCs w:val="24"/>
        </w:rPr>
        <w:t xml:space="preserve"> </w:t>
      </w:r>
      <w:proofErr w:type="spellStart"/>
      <w:r>
        <w:rPr>
          <w:rFonts w:ascii="Times New Roman" w:hAnsi="Times New Roman"/>
          <w:i/>
          <w:szCs w:val="24"/>
        </w:rPr>
        <w:t>tư</w:t>
      </w:r>
      <w:proofErr w:type="spellEnd"/>
      <w:r>
        <w:rPr>
          <w:rFonts w:ascii="Times New Roman" w:hAnsi="Times New Roman"/>
          <w:i/>
          <w:szCs w:val="24"/>
        </w:rPr>
        <w:t xml:space="preserve"> 34/2014/TT-BKHCN</w:t>
      </w:r>
      <w:r w:rsidRPr="006C1C10">
        <w:rPr>
          <w:rFonts w:ascii="Times New Roman" w:hAnsi="Times New Roman"/>
          <w:i/>
          <w:szCs w:val="24"/>
        </w:rPr>
        <w:t>.</w:t>
      </w:r>
    </w:p>
    <w:p w:rsidR="003336CD" w:rsidRPr="00E97821" w:rsidRDefault="003336CD" w:rsidP="008E16DB">
      <w:pPr>
        <w:tabs>
          <w:tab w:val="left" w:pos="567"/>
        </w:tabs>
        <w:spacing w:before="120" w:after="120"/>
        <w:rPr>
          <w:rFonts w:ascii="Times New Roman" w:hAnsi="Times New Roman"/>
          <w:b/>
          <w:sz w:val="26"/>
          <w:szCs w:val="26"/>
        </w:rPr>
      </w:pPr>
      <w:r w:rsidRPr="00E97821">
        <w:rPr>
          <w:rFonts w:ascii="Times New Roman" w:hAnsi="Times New Roman"/>
          <w:b/>
          <w:sz w:val="26"/>
          <w:szCs w:val="26"/>
        </w:rPr>
        <w:t xml:space="preserve">I. </w:t>
      </w:r>
      <w:proofErr w:type="spellStart"/>
      <w:r w:rsidRPr="00E97821">
        <w:rPr>
          <w:rFonts w:ascii="Times New Roman" w:hAnsi="Times New Roman"/>
          <w:b/>
          <w:sz w:val="26"/>
          <w:szCs w:val="26"/>
        </w:rPr>
        <w:t>Giới</w:t>
      </w:r>
      <w:proofErr w:type="spellEnd"/>
      <w:r w:rsidRPr="00E97821">
        <w:rPr>
          <w:rFonts w:ascii="Times New Roman" w:hAnsi="Times New Roman"/>
          <w:b/>
          <w:sz w:val="26"/>
          <w:szCs w:val="26"/>
        </w:rPr>
        <w:t xml:space="preserve"> </w:t>
      </w:r>
      <w:proofErr w:type="spellStart"/>
      <w:r w:rsidRPr="00E97821">
        <w:rPr>
          <w:rFonts w:ascii="Times New Roman" w:hAnsi="Times New Roman"/>
          <w:b/>
          <w:sz w:val="26"/>
          <w:szCs w:val="26"/>
        </w:rPr>
        <w:t>thiệu</w:t>
      </w:r>
      <w:proofErr w:type="spellEnd"/>
    </w:p>
    <w:p w:rsidR="003336CD" w:rsidRPr="00E97821" w:rsidRDefault="003336CD" w:rsidP="008E16DB">
      <w:pPr>
        <w:widowControl w:val="0"/>
        <w:tabs>
          <w:tab w:val="left" w:pos="567"/>
        </w:tabs>
        <w:autoSpaceDE w:val="0"/>
        <w:autoSpaceDN w:val="0"/>
        <w:adjustRightInd w:val="0"/>
        <w:spacing w:before="120" w:after="120"/>
        <w:ind w:right="63" w:firstLine="567"/>
        <w:jc w:val="both"/>
        <w:rPr>
          <w:rFonts w:ascii="Times New Roman" w:hAnsi="Times New Roman"/>
          <w:b/>
          <w:i/>
          <w:iCs/>
          <w:color w:val="000000"/>
          <w:spacing w:val="1"/>
          <w:sz w:val="26"/>
          <w:szCs w:val="26"/>
          <w:lang w:val="pt-BR"/>
        </w:rPr>
      </w:pPr>
      <w:r w:rsidRPr="00E97821">
        <w:rPr>
          <w:rFonts w:ascii="Times New Roman" w:hAnsi="Times New Roman"/>
          <w:bCs/>
          <w:color w:val="000000"/>
          <w:sz w:val="26"/>
          <w:szCs w:val="26"/>
          <w:lang w:val="pt-BR"/>
        </w:rPr>
        <w:t>Viện Nghiên cứu hạt nhân (NCHN) được thành lập theo Quyết định số 64/CP ngày 26/4/1976 của Thủ tướng Chính phủ</w:t>
      </w:r>
      <w:r>
        <w:rPr>
          <w:rFonts w:ascii="Times New Roman" w:hAnsi="Times New Roman"/>
          <w:bCs/>
          <w:color w:val="000000"/>
          <w:sz w:val="26"/>
          <w:szCs w:val="26"/>
          <w:lang w:val="pt-BR"/>
        </w:rPr>
        <w:t>.</w:t>
      </w:r>
      <w:r w:rsidRPr="00E97821">
        <w:rPr>
          <w:rFonts w:ascii="Times New Roman" w:hAnsi="Times New Roman"/>
          <w:bCs/>
          <w:color w:val="000000"/>
          <w:sz w:val="26"/>
          <w:szCs w:val="26"/>
          <w:lang w:val="pt-BR"/>
        </w:rPr>
        <w:t xml:space="preserve"> Viện có nhiệm vụ quản lý, vận hành và khai thác Lò phản ứng hạt nhân Đà Lạt và các công cụ khoa học khác để đẩy mạnh các nghiên cứu khoa học và triển khai kỹ thuật và công nghệ hạt nhân góp phần phát triển KT-KH [1]; xây dựng và phát triển tiềm lực v</w:t>
      </w:r>
      <w:r>
        <w:rPr>
          <w:rFonts w:ascii="Times New Roman" w:hAnsi="Times New Roman"/>
          <w:bCs/>
          <w:color w:val="000000"/>
          <w:sz w:val="26"/>
          <w:szCs w:val="26"/>
          <w:lang w:val="pt-BR"/>
        </w:rPr>
        <w:t>ề cơ sở vật chất </w:t>
      </w:r>
      <w:r w:rsidRPr="00E97821">
        <w:rPr>
          <w:rFonts w:ascii="Times New Roman" w:hAnsi="Times New Roman"/>
          <w:bCs/>
          <w:color w:val="000000"/>
          <w:sz w:val="26"/>
          <w:szCs w:val="26"/>
          <w:lang w:val="pt-BR"/>
        </w:rPr>
        <w:t xml:space="preserve">- kỹ thuật và nhân lực; bảo đảm an toàn cho hoạt động của Viện và hỗ trợ kỹ thuật cho các cơ sở bức xạ khác, góp phần bảo đảm sự phát triển bền vững của ngành năng lượng nguyên tử. </w:t>
      </w:r>
    </w:p>
    <w:p w:rsidR="003336CD" w:rsidRPr="00E97821" w:rsidRDefault="003336CD" w:rsidP="008E16DB">
      <w:pPr>
        <w:widowControl w:val="0"/>
        <w:tabs>
          <w:tab w:val="left" w:pos="567"/>
        </w:tabs>
        <w:autoSpaceDE w:val="0"/>
        <w:autoSpaceDN w:val="0"/>
        <w:adjustRightInd w:val="0"/>
        <w:spacing w:before="120" w:after="120"/>
        <w:ind w:right="28" w:firstLine="567"/>
        <w:jc w:val="both"/>
        <w:rPr>
          <w:rFonts w:ascii="Times New Roman" w:hAnsi="Times New Roman"/>
          <w:color w:val="000000"/>
          <w:sz w:val="26"/>
          <w:szCs w:val="26"/>
          <w:shd w:val="clear" w:color="auto" w:fill="FFFFFF"/>
          <w:lang w:val="pt-BR"/>
        </w:rPr>
      </w:pPr>
      <w:r w:rsidRPr="00E97821">
        <w:rPr>
          <w:rFonts w:ascii="Times New Roman" w:hAnsi="Times New Roman"/>
          <w:color w:val="000000"/>
          <w:sz w:val="26"/>
          <w:szCs w:val="26"/>
          <w:shd w:val="clear" w:color="auto" w:fill="FFFFFF"/>
          <w:lang w:val="pt-BR"/>
        </w:rPr>
        <w:t>Trung tâm Đào tạo</w:t>
      </w:r>
      <w:r>
        <w:rPr>
          <w:rFonts w:ascii="Times New Roman" w:hAnsi="Times New Roman"/>
          <w:color w:val="000000"/>
          <w:sz w:val="26"/>
          <w:szCs w:val="26"/>
          <w:shd w:val="clear" w:color="auto" w:fill="FFFFFF"/>
          <w:lang w:val="pt-BR"/>
        </w:rPr>
        <w:t xml:space="preserve"> (TTĐT)</w:t>
      </w:r>
      <w:r w:rsidRPr="00E97821">
        <w:rPr>
          <w:rFonts w:ascii="Times New Roman" w:hAnsi="Times New Roman"/>
          <w:color w:val="000000"/>
          <w:sz w:val="26"/>
          <w:szCs w:val="26"/>
          <w:shd w:val="clear" w:color="auto" w:fill="FFFFFF"/>
          <w:lang w:val="pt-BR"/>
        </w:rPr>
        <w:t>, Viện N</w:t>
      </w:r>
      <w:r>
        <w:rPr>
          <w:rFonts w:ascii="Times New Roman" w:hAnsi="Times New Roman"/>
          <w:color w:val="000000"/>
          <w:sz w:val="26"/>
          <w:szCs w:val="26"/>
          <w:shd w:val="clear" w:color="auto" w:fill="FFFFFF"/>
          <w:lang w:val="pt-BR"/>
        </w:rPr>
        <w:t>CHN</w:t>
      </w:r>
      <w:r w:rsidRPr="00E97821">
        <w:rPr>
          <w:rFonts w:ascii="Times New Roman" w:hAnsi="Times New Roman"/>
          <w:color w:val="000000"/>
          <w:sz w:val="26"/>
          <w:szCs w:val="26"/>
          <w:shd w:val="clear" w:color="auto" w:fill="FFFFFF"/>
          <w:lang w:val="pt-BR"/>
        </w:rPr>
        <w:t xml:space="preserve"> được thành lập năm 1999, có nhiệm vụ tổ chức các lớp đào tạo và huấn luyện về an toàn bức xạ </w:t>
      </w:r>
      <w:r>
        <w:rPr>
          <w:rFonts w:ascii="Times New Roman" w:hAnsi="Times New Roman"/>
          <w:color w:val="000000"/>
          <w:sz w:val="26"/>
          <w:szCs w:val="26"/>
          <w:shd w:val="clear" w:color="auto" w:fill="FFFFFF"/>
          <w:lang w:val="pt-BR"/>
        </w:rPr>
        <w:t xml:space="preserve">(ATBX) </w:t>
      </w:r>
      <w:r w:rsidRPr="00E97821">
        <w:rPr>
          <w:rFonts w:ascii="Times New Roman" w:hAnsi="Times New Roman"/>
          <w:color w:val="000000"/>
          <w:sz w:val="26"/>
          <w:szCs w:val="26"/>
          <w:shd w:val="clear" w:color="auto" w:fill="FFFFFF"/>
          <w:lang w:val="pt-BR"/>
        </w:rPr>
        <w:t>cho nhân viên bức xạ, an toàn hạt nhân, công nghệ về năng lượng hạt nhân, ứng dụng kỹ thuật hạt nhân và đồng vị phóng xạ trong các ngành kinh tế,... [2]</w:t>
      </w:r>
      <w:r>
        <w:rPr>
          <w:rFonts w:ascii="Times New Roman" w:hAnsi="Times New Roman"/>
          <w:color w:val="000000"/>
          <w:sz w:val="26"/>
          <w:szCs w:val="26"/>
          <w:shd w:val="clear" w:color="auto" w:fill="FFFFFF"/>
          <w:lang w:val="pt-BR"/>
        </w:rPr>
        <w:t>.</w:t>
      </w:r>
      <w:r w:rsidRPr="00E97821">
        <w:rPr>
          <w:rFonts w:ascii="Times New Roman" w:hAnsi="Times New Roman"/>
          <w:color w:val="000000"/>
          <w:sz w:val="26"/>
          <w:szCs w:val="26"/>
          <w:shd w:val="clear" w:color="auto" w:fill="FFFFFF"/>
          <w:lang w:val="pt-BR"/>
        </w:rPr>
        <w:t xml:space="preserve"> Ngoài ra, Trung tâm còn phối hợp với các sở Khoa học và Công nghệ </w:t>
      </w:r>
      <w:r>
        <w:rPr>
          <w:rFonts w:ascii="Times New Roman" w:hAnsi="Times New Roman"/>
          <w:color w:val="000000"/>
          <w:sz w:val="26"/>
          <w:szCs w:val="26"/>
          <w:shd w:val="clear" w:color="auto" w:fill="FFFFFF"/>
          <w:lang w:val="pt-BR"/>
        </w:rPr>
        <w:t xml:space="preserve">(KH&amp;CN) và cơ sở bức xạ khác </w:t>
      </w:r>
      <w:r w:rsidRPr="00E97821">
        <w:rPr>
          <w:rFonts w:ascii="Times New Roman" w:hAnsi="Times New Roman"/>
          <w:color w:val="000000"/>
          <w:sz w:val="26"/>
          <w:szCs w:val="26"/>
          <w:shd w:val="clear" w:color="auto" w:fill="FFFFFF"/>
          <w:lang w:val="pt-BR"/>
        </w:rPr>
        <w:t xml:space="preserve">tổ chức tập huấn và diễn tập Ứng phó sự cố bức xạ và hạt nhân nhằm mục đích đảm bảo </w:t>
      </w:r>
      <w:r>
        <w:rPr>
          <w:rFonts w:ascii="Times New Roman" w:hAnsi="Times New Roman"/>
          <w:color w:val="000000"/>
          <w:sz w:val="26"/>
          <w:szCs w:val="26"/>
          <w:shd w:val="clear" w:color="auto" w:fill="FFFFFF"/>
          <w:lang w:val="pt-BR"/>
        </w:rPr>
        <w:t>ATBX và</w:t>
      </w:r>
      <w:r w:rsidRPr="00E97821">
        <w:rPr>
          <w:rFonts w:ascii="Times New Roman" w:hAnsi="Times New Roman"/>
          <w:color w:val="000000"/>
          <w:sz w:val="26"/>
          <w:szCs w:val="26"/>
          <w:shd w:val="clear" w:color="auto" w:fill="FFFFFF"/>
          <w:lang w:val="pt-BR"/>
        </w:rPr>
        <w:t xml:space="preserve"> an ninh nguồn phóng xạ. Bên cạnh đó, Trung tâm cũng là cơ sở để sinh viên các trường Đại học đến </w:t>
      </w:r>
      <w:r>
        <w:rPr>
          <w:rFonts w:ascii="Times New Roman" w:hAnsi="Times New Roman"/>
          <w:color w:val="000000"/>
          <w:sz w:val="26"/>
          <w:szCs w:val="26"/>
          <w:shd w:val="clear" w:color="auto" w:fill="FFFFFF"/>
          <w:lang w:val="pt-BR"/>
        </w:rPr>
        <w:t xml:space="preserve">tham quan, </w:t>
      </w:r>
      <w:r w:rsidRPr="00E97821">
        <w:rPr>
          <w:rFonts w:ascii="Times New Roman" w:hAnsi="Times New Roman"/>
          <w:color w:val="000000"/>
          <w:sz w:val="26"/>
          <w:szCs w:val="26"/>
          <w:shd w:val="clear" w:color="auto" w:fill="FFFFFF"/>
          <w:lang w:val="pt-BR"/>
        </w:rPr>
        <w:t>thực tập và làm quen với môi trường làm việc trong lĩnh vực khoa học. Song song việc hướng dẫn thực tập cho sinh viên các Trường Đại học, Trung tâm còn hướng dẫn tham quan</w:t>
      </w:r>
      <w:r>
        <w:rPr>
          <w:rFonts w:ascii="Times New Roman" w:hAnsi="Times New Roman"/>
          <w:color w:val="000000"/>
          <w:sz w:val="26"/>
          <w:szCs w:val="26"/>
          <w:shd w:val="clear" w:color="auto" w:fill="FFFFFF"/>
          <w:lang w:val="pt-BR"/>
        </w:rPr>
        <w:t>,</w:t>
      </w:r>
      <w:r w:rsidRPr="00E97821">
        <w:rPr>
          <w:rFonts w:ascii="Times New Roman" w:hAnsi="Times New Roman"/>
          <w:color w:val="000000"/>
          <w:sz w:val="26"/>
          <w:szCs w:val="26"/>
          <w:shd w:val="clear" w:color="auto" w:fill="FFFFFF"/>
          <w:lang w:val="pt-BR"/>
        </w:rPr>
        <w:t xml:space="preserve"> kiến tập cho học sinh của các Trường Trung học trong cả nước. </w:t>
      </w:r>
    </w:p>
    <w:p w:rsidR="003336CD" w:rsidRPr="00E97821" w:rsidRDefault="003336CD" w:rsidP="008E16DB">
      <w:pPr>
        <w:tabs>
          <w:tab w:val="left" w:pos="567"/>
        </w:tabs>
        <w:spacing w:before="120" w:after="120"/>
        <w:ind w:firstLine="567"/>
        <w:jc w:val="both"/>
        <w:rPr>
          <w:rFonts w:ascii="Times New Roman" w:hAnsi="Times New Roman"/>
          <w:iCs/>
          <w:color w:val="000000"/>
          <w:spacing w:val="1"/>
          <w:sz w:val="26"/>
          <w:szCs w:val="26"/>
          <w:lang w:val="pt-BR"/>
        </w:rPr>
      </w:pPr>
      <w:r w:rsidRPr="00E97821">
        <w:rPr>
          <w:rFonts w:ascii="Times New Roman" w:hAnsi="Times New Roman"/>
          <w:sz w:val="26"/>
          <w:szCs w:val="26"/>
          <w:lang w:val="pt-BR"/>
        </w:rPr>
        <w:t xml:space="preserve">Đào tạo </w:t>
      </w:r>
      <w:r>
        <w:rPr>
          <w:rFonts w:ascii="Times New Roman" w:hAnsi="Times New Roman"/>
          <w:sz w:val="26"/>
          <w:szCs w:val="26"/>
          <w:lang w:val="pt-BR"/>
        </w:rPr>
        <w:t>ATBX</w:t>
      </w:r>
      <w:r w:rsidRPr="00E97821">
        <w:rPr>
          <w:rFonts w:ascii="Times New Roman" w:hAnsi="Times New Roman"/>
          <w:sz w:val="26"/>
          <w:szCs w:val="26"/>
          <w:lang w:val="pt-BR"/>
        </w:rPr>
        <w:t xml:space="preserve"> cho nhân viên bức xạ là một trong những hoạt động được V</w:t>
      </w:r>
      <w:r>
        <w:rPr>
          <w:rFonts w:ascii="Times New Roman" w:hAnsi="Times New Roman"/>
          <w:sz w:val="26"/>
          <w:szCs w:val="26"/>
          <w:lang w:val="pt-BR"/>
        </w:rPr>
        <w:t xml:space="preserve">iện </w:t>
      </w:r>
      <w:r w:rsidRPr="00E97821">
        <w:rPr>
          <w:rFonts w:ascii="Times New Roman" w:hAnsi="Times New Roman"/>
          <w:sz w:val="26"/>
          <w:szCs w:val="26"/>
          <w:lang w:val="pt-BR"/>
        </w:rPr>
        <w:t>chú trọng nhằm hỗ trợ cho các hoạt động ứng dụng năng lượng nguyên tử ngày càng hiệu quả và an toàn hơn. V</w:t>
      </w:r>
      <w:r>
        <w:rPr>
          <w:rFonts w:ascii="Times New Roman" w:hAnsi="Times New Roman"/>
          <w:sz w:val="26"/>
          <w:szCs w:val="26"/>
          <w:lang w:val="pt-BR"/>
        </w:rPr>
        <w:t xml:space="preserve">iện </w:t>
      </w:r>
      <w:r w:rsidRPr="00E97821">
        <w:rPr>
          <w:rFonts w:ascii="Times New Roman" w:hAnsi="Times New Roman"/>
          <w:sz w:val="26"/>
          <w:szCs w:val="26"/>
          <w:lang w:val="pt-BR"/>
        </w:rPr>
        <w:t xml:space="preserve">đã được Cục An toàn </w:t>
      </w:r>
      <w:r>
        <w:rPr>
          <w:rFonts w:ascii="Times New Roman" w:hAnsi="Times New Roman"/>
          <w:sz w:val="26"/>
          <w:szCs w:val="26"/>
          <w:lang w:val="pt-BR"/>
        </w:rPr>
        <w:t>b</w:t>
      </w:r>
      <w:r w:rsidRPr="00E97821">
        <w:rPr>
          <w:rFonts w:ascii="Times New Roman" w:hAnsi="Times New Roman"/>
          <w:sz w:val="26"/>
          <w:szCs w:val="26"/>
          <w:lang w:val="pt-BR"/>
        </w:rPr>
        <w:t>ức xạ và hạt nhân (ATBXHN) cấp g</w:t>
      </w:r>
      <w:r w:rsidRPr="00E97821">
        <w:rPr>
          <w:rFonts w:ascii="Times New Roman" w:hAnsi="Times New Roman"/>
          <w:iCs/>
          <w:color w:val="000000"/>
          <w:spacing w:val="1"/>
          <w:sz w:val="26"/>
          <w:szCs w:val="26"/>
          <w:lang w:val="pt-BR"/>
        </w:rPr>
        <w:t xml:space="preserve">iấy phép hành nghề dịch vụ đào tạo </w:t>
      </w:r>
      <w:r>
        <w:rPr>
          <w:rFonts w:ascii="Times New Roman" w:hAnsi="Times New Roman"/>
          <w:iCs/>
          <w:color w:val="000000"/>
          <w:spacing w:val="1"/>
          <w:sz w:val="26"/>
          <w:szCs w:val="26"/>
          <w:lang w:val="pt-BR"/>
        </w:rPr>
        <w:t>ATBX</w:t>
      </w:r>
      <w:r w:rsidRPr="00E97821">
        <w:rPr>
          <w:rFonts w:ascii="Times New Roman" w:hAnsi="Times New Roman"/>
          <w:iCs/>
          <w:color w:val="000000"/>
          <w:spacing w:val="1"/>
          <w:sz w:val="26"/>
          <w:szCs w:val="26"/>
          <w:lang w:val="pt-BR"/>
        </w:rPr>
        <w:t xml:space="preserve"> cho nhân viên bức xạ theo quy định của Thông tư </w:t>
      </w:r>
      <w:r>
        <w:rPr>
          <w:rFonts w:ascii="Times New Roman" w:hAnsi="Times New Roman"/>
          <w:iCs/>
          <w:color w:val="000000"/>
          <w:spacing w:val="1"/>
          <w:sz w:val="26"/>
          <w:szCs w:val="26"/>
          <w:lang w:val="pt-BR"/>
        </w:rPr>
        <w:t xml:space="preserve">số 34/2014/TT-BKHCN </w:t>
      </w:r>
      <w:r w:rsidRPr="00E97821">
        <w:rPr>
          <w:rFonts w:ascii="Times New Roman" w:hAnsi="Times New Roman"/>
          <w:iCs/>
          <w:color w:val="000000"/>
          <w:spacing w:val="1"/>
          <w:sz w:val="26"/>
          <w:szCs w:val="26"/>
          <w:lang w:val="pt-BR"/>
        </w:rPr>
        <w:t>từ ngày 27/11/2014</w:t>
      </w:r>
      <w:r>
        <w:rPr>
          <w:rFonts w:ascii="Times New Roman" w:hAnsi="Times New Roman"/>
          <w:iCs/>
          <w:color w:val="000000"/>
          <w:spacing w:val="1"/>
          <w:sz w:val="26"/>
          <w:szCs w:val="26"/>
          <w:lang w:val="pt-BR"/>
        </w:rPr>
        <w:t xml:space="preserve"> (viết tắt là TT-34)</w:t>
      </w:r>
      <w:r w:rsidRPr="00E97821">
        <w:rPr>
          <w:rFonts w:ascii="Times New Roman" w:hAnsi="Times New Roman"/>
          <w:iCs/>
          <w:color w:val="000000"/>
          <w:spacing w:val="1"/>
          <w:sz w:val="26"/>
          <w:szCs w:val="26"/>
          <w:lang w:val="pt-BR"/>
        </w:rPr>
        <w:t>.</w:t>
      </w:r>
    </w:p>
    <w:p w:rsidR="003336CD" w:rsidRPr="00E97821" w:rsidRDefault="003336CD" w:rsidP="008E16DB">
      <w:pPr>
        <w:tabs>
          <w:tab w:val="left" w:pos="567"/>
        </w:tabs>
        <w:spacing w:before="120" w:after="120"/>
        <w:ind w:firstLine="567"/>
        <w:jc w:val="both"/>
        <w:rPr>
          <w:rFonts w:ascii="Times New Roman" w:hAnsi="Times New Roman"/>
          <w:sz w:val="26"/>
          <w:szCs w:val="26"/>
          <w:lang w:val="pt-BR"/>
        </w:rPr>
      </w:pPr>
      <w:r w:rsidRPr="00E97821">
        <w:rPr>
          <w:rFonts w:ascii="Times New Roman" w:hAnsi="Times New Roman"/>
          <w:sz w:val="26"/>
          <w:szCs w:val="26"/>
          <w:lang w:val="pt-BR"/>
        </w:rPr>
        <w:t xml:space="preserve">Từ thời điểm đó, hoạt động đào tạo ATBX của Viện đã được </w:t>
      </w:r>
      <w:r>
        <w:rPr>
          <w:rFonts w:ascii="Times New Roman" w:hAnsi="Times New Roman"/>
          <w:sz w:val="26"/>
          <w:szCs w:val="26"/>
          <w:lang w:val="pt-BR"/>
        </w:rPr>
        <w:t>thực hiện theo TT-</w:t>
      </w:r>
      <w:r w:rsidRPr="00E97821">
        <w:rPr>
          <w:rFonts w:ascii="Times New Roman" w:hAnsi="Times New Roman"/>
          <w:iCs/>
          <w:color w:val="000000"/>
          <w:spacing w:val="1"/>
          <w:sz w:val="26"/>
          <w:szCs w:val="26"/>
          <w:lang w:val="pt-BR"/>
        </w:rPr>
        <w:t>34</w:t>
      </w:r>
      <w:r>
        <w:rPr>
          <w:rFonts w:ascii="Times New Roman" w:hAnsi="Times New Roman"/>
          <w:iCs/>
          <w:color w:val="000000"/>
          <w:spacing w:val="1"/>
          <w:sz w:val="26"/>
          <w:szCs w:val="26"/>
          <w:lang w:val="pt-BR"/>
        </w:rPr>
        <w:t>.</w:t>
      </w:r>
    </w:p>
    <w:p w:rsidR="003336CD" w:rsidRPr="00E97821" w:rsidRDefault="003336CD" w:rsidP="008E16DB">
      <w:pPr>
        <w:tabs>
          <w:tab w:val="left" w:pos="567"/>
        </w:tabs>
        <w:spacing w:before="120" w:after="120"/>
        <w:jc w:val="both"/>
        <w:rPr>
          <w:rFonts w:ascii="Times New Roman" w:hAnsi="Times New Roman"/>
          <w:b/>
          <w:sz w:val="26"/>
          <w:szCs w:val="26"/>
          <w:lang w:val="pt-BR"/>
        </w:rPr>
      </w:pPr>
      <w:r w:rsidRPr="00E97821">
        <w:rPr>
          <w:rFonts w:ascii="Times New Roman" w:hAnsi="Times New Roman" w:cs="Calibri"/>
          <w:b/>
          <w:sz w:val="26"/>
          <w:szCs w:val="26"/>
          <w:lang w:val="pt-BR"/>
        </w:rPr>
        <w:t>II. Công tác tổ chức thực hiện đào tạo an toàn bức xạ</w:t>
      </w:r>
    </w:p>
    <w:p w:rsidR="003336CD" w:rsidRPr="00E97821" w:rsidRDefault="00455E7E" w:rsidP="00455E7E">
      <w:pPr>
        <w:tabs>
          <w:tab w:val="left" w:pos="567"/>
        </w:tabs>
        <w:spacing w:before="120" w:after="120"/>
        <w:jc w:val="both"/>
        <w:rPr>
          <w:rFonts w:ascii="Times New Roman" w:hAnsi="Times New Roman"/>
          <w:sz w:val="26"/>
          <w:szCs w:val="26"/>
          <w:lang w:val="pt-BR"/>
        </w:rPr>
      </w:pPr>
      <w:r>
        <w:rPr>
          <w:rFonts w:ascii="Times New Roman" w:hAnsi="Times New Roman"/>
          <w:sz w:val="26"/>
          <w:szCs w:val="26"/>
          <w:lang w:val="pt-BR"/>
        </w:rPr>
        <w:lastRenderedPageBreak/>
        <w:tab/>
      </w:r>
      <w:r w:rsidR="003336CD" w:rsidRPr="00E97821">
        <w:rPr>
          <w:rFonts w:ascii="Times New Roman" w:hAnsi="Times New Roman"/>
          <w:sz w:val="26"/>
          <w:szCs w:val="26"/>
          <w:lang w:val="pt-BR"/>
        </w:rPr>
        <w:t>C</w:t>
      </w:r>
      <w:r w:rsidR="003336CD" w:rsidRPr="00E97821">
        <w:rPr>
          <w:rFonts w:ascii="Times New Roman" w:hAnsi="Times New Roman" w:cs="Calibri"/>
          <w:sz w:val="26"/>
          <w:szCs w:val="26"/>
          <w:lang w:val="pt-BR"/>
        </w:rPr>
        <w:t>ơ</w:t>
      </w:r>
      <w:r w:rsidR="003336CD" w:rsidRPr="00E97821">
        <w:rPr>
          <w:rFonts w:ascii="Times New Roman" w:hAnsi="Times New Roman"/>
          <w:sz w:val="26"/>
          <w:szCs w:val="26"/>
          <w:lang w:val="pt-BR"/>
        </w:rPr>
        <w:t xml:space="preserve"> s</w:t>
      </w:r>
      <w:r w:rsidR="003336CD" w:rsidRPr="00E97821">
        <w:rPr>
          <w:rFonts w:ascii="Times New Roman" w:hAnsi="Times New Roman" w:cs="Calibri"/>
          <w:sz w:val="26"/>
          <w:szCs w:val="26"/>
          <w:lang w:val="pt-BR"/>
        </w:rPr>
        <w:t>ở</w:t>
      </w:r>
      <w:r w:rsidR="003336CD" w:rsidRPr="00E97821">
        <w:rPr>
          <w:rFonts w:ascii="Times New Roman" w:hAnsi="Times New Roman"/>
          <w:sz w:val="26"/>
          <w:szCs w:val="26"/>
          <w:lang w:val="pt-BR"/>
        </w:rPr>
        <w:t xml:space="preserve"> v</w:t>
      </w:r>
      <w:r w:rsidR="003336CD" w:rsidRPr="00E97821">
        <w:rPr>
          <w:rFonts w:ascii="Times New Roman" w:hAnsi="Times New Roman" w:cs="Calibri"/>
          <w:sz w:val="26"/>
          <w:szCs w:val="26"/>
          <w:lang w:val="pt-BR"/>
        </w:rPr>
        <w:t>ậ</w:t>
      </w:r>
      <w:r w:rsidR="003336CD" w:rsidRPr="00E97821">
        <w:rPr>
          <w:rFonts w:ascii="Times New Roman" w:hAnsi="Times New Roman"/>
          <w:sz w:val="26"/>
          <w:szCs w:val="26"/>
          <w:lang w:val="pt-BR"/>
        </w:rPr>
        <w:t>t ch</w:t>
      </w:r>
      <w:r w:rsidR="003336CD" w:rsidRPr="00E97821">
        <w:rPr>
          <w:rFonts w:ascii="Times New Roman" w:hAnsi="Times New Roman" w:cs="Calibri"/>
          <w:sz w:val="26"/>
          <w:szCs w:val="26"/>
          <w:lang w:val="pt-BR"/>
        </w:rPr>
        <w:t>ấ</w:t>
      </w:r>
      <w:r w:rsidR="003336CD" w:rsidRPr="00E97821">
        <w:rPr>
          <w:rFonts w:ascii="Times New Roman" w:hAnsi="Times New Roman"/>
          <w:sz w:val="26"/>
          <w:szCs w:val="26"/>
          <w:lang w:val="pt-BR"/>
        </w:rPr>
        <w:t>t d</w:t>
      </w:r>
      <w:r w:rsidR="003336CD" w:rsidRPr="00E97821">
        <w:rPr>
          <w:rFonts w:ascii="Times New Roman" w:hAnsi="Times New Roman" w:cs=".VnTime"/>
          <w:sz w:val="26"/>
          <w:szCs w:val="26"/>
          <w:lang w:val="pt-BR"/>
        </w:rPr>
        <w:t>ù</w:t>
      </w:r>
      <w:r w:rsidR="003336CD" w:rsidRPr="00E97821">
        <w:rPr>
          <w:rFonts w:ascii="Times New Roman" w:hAnsi="Times New Roman"/>
          <w:sz w:val="26"/>
          <w:szCs w:val="26"/>
          <w:lang w:val="pt-BR"/>
        </w:rPr>
        <w:t>ng cho gi</w:t>
      </w:r>
      <w:r w:rsidR="003336CD" w:rsidRPr="00E97821">
        <w:rPr>
          <w:rFonts w:ascii="Times New Roman" w:hAnsi="Times New Roman" w:cs="Calibri"/>
          <w:sz w:val="26"/>
          <w:szCs w:val="26"/>
          <w:lang w:val="pt-BR"/>
        </w:rPr>
        <w:t>ả</w:t>
      </w:r>
      <w:r w:rsidR="003336CD" w:rsidRPr="00E97821">
        <w:rPr>
          <w:rFonts w:ascii="Times New Roman" w:hAnsi="Times New Roman"/>
          <w:sz w:val="26"/>
          <w:szCs w:val="26"/>
          <w:lang w:val="pt-BR"/>
        </w:rPr>
        <w:t>ng d</w:t>
      </w:r>
      <w:r w:rsidR="003336CD" w:rsidRPr="00E97821">
        <w:rPr>
          <w:rFonts w:ascii="Times New Roman" w:hAnsi="Times New Roman" w:cs="Calibri"/>
          <w:sz w:val="26"/>
          <w:szCs w:val="26"/>
          <w:lang w:val="pt-BR"/>
        </w:rPr>
        <w:t>ạ</w:t>
      </w:r>
      <w:r w:rsidR="003336CD" w:rsidRPr="00E97821">
        <w:rPr>
          <w:rFonts w:ascii="Times New Roman" w:hAnsi="Times New Roman"/>
          <w:sz w:val="26"/>
          <w:szCs w:val="26"/>
          <w:lang w:val="pt-BR"/>
        </w:rPr>
        <w:t>y ATBX t</w:t>
      </w:r>
      <w:r w:rsidR="003336CD" w:rsidRPr="00E97821">
        <w:rPr>
          <w:rFonts w:ascii="Times New Roman" w:hAnsi="Times New Roman" w:cs="Calibri"/>
          <w:sz w:val="26"/>
          <w:szCs w:val="26"/>
          <w:lang w:val="pt-BR"/>
        </w:rPr>
        <w:t>ạ</w:t>
      </w:r>
      <w:r w:rsidR="003336CD" w:rsidRPr="00E97821">
        <w:rPr>
          <w:rFonts w:ascii="Times New Roman" w:hAnsi="Times New Roman"/>
          <w:sz w:val="26"/>
          <w:szCs w:val="26"/>
          <w:lang w:val="pt-BR"/>
        </w:rPr>
        <w:t>i V</w:t>
      </w:r>
      <w:r w:rsidR="003336CD">
        <w:rPr>
          <w:rFonts w:ascii="Times New Roman" w:hAnsi="Times New Roman"/>
          <w:sz w:val="26"/>
          <w:szCs w:val="26"/>
          <w:lang w:val="pt-BR"/>
        </w:rPr>
        <w:t xml:space="preserve">iện </w:t>
      </w:r>
      <w:r w:rsidR="003336CD" w:rsidRPr="00E97821">
        <w:rPr>
          <w:rFonts w:ascii="Times New Roman" w:hAnsi="Times New Roman"/>
          <w:sz w:val="26"/>
          <w:szCs w:val="26"/>
          <w:lang w:val="pt-BR"/>
        </w:rPr>
        <w:t>g</w:t>
      </w:r>
      <w:r w:rsidR="003336CD" w:rsidRPr="00E97821">
        <w:rPr>
          <w:rFonts w:ascii="Times New Roman" w:hAnsi="Times New Roman" w:cs="Calibri"/>
          <w:sz w:val="26"/>
          <w:szCs w:val="26"/>
          <w:lang w:val="pt-BR"/>
        </w:rPr>
        <w:t>ồ</w:t>
      </w:r>
      <w:r w:rsidR="003336CD" w:rsidRPr="00E97821">
        <w:rPr>
          <w:rFonts w:ascii="Times New Roman" w:hAnsi="Times New Roman"/>
          <w:sz w:val="26"/>
          <w:szCs w:val="26"/>
          <w:lang w:val="pt-BR"/>
        </w:rPr>
        <w:t>m các thiết bị đo liều bức xạ (Bảng 1), ba giảng đường được trang bị đầy đủ các thiết bị phụ vụ giảng bài (máy chiếu, bảng các loại, hệ thống âm thanh), các phòng học có sức chứa từ 30 đến 200 học viên. Ngoài ra, V</w:t>
      </w:r>
      <w:r w:rsidR="003336CD">
        <w:rPr>
          <w:rFonts w:ascii="Times New Roman" w:hAnsi="Times New Roman"/>
          <w:sz w:val="26"/>
          <w:szCs w:val="26"/>
          <w:lang w:val="pt-BR"/>
        </w:rPr>
        <w:t>iện</w:t>
      </w:r>
      <w:r w:rsidR="003336CD" w:rsidRPr="00E97821">
        <w:rPr>
          <w:rFonts w:ascii="Times New Roman" w:hAnsi="Times New Roman"/>
          <w:sz w:val="26"/>
          <w:szCs w:val="26"/>
          <w:lang w:val="pt-BR"/>
        </w:rPr>
        <w:t xml:space="preserve"> còn có hai phòng thí nghiệm chuyên </w:t>
      </w:r>
      <w:r w:rsidR="003336CD">
        <w:rPr>
          <w:rFonts w:ascii="Times New Roman" w:hAnsi="Times New Roman"/>
          <w:sz w:val="26"/>
          <w:szCs w:val="26"/>
          <w:lang w:val="pt-BR"/>
        </w:rPr>
        <w:t>đề</w:t>
      </w:r>
      <w:r w:rsidR="003336CD" w:rsidRPr="00E97821">
        <w:rPr>
          <w:rFonts w:ascii="Times New Roman" w:hAnsi="Times New Roman"/>
          <w:sz w:val="26"/>
          <w:szCs w:val="26"/>
          <w:lang w:val="pt-BR"/>
        </w:rPr>
        <w:t xml:space="preserve"> cho mục đích giảng dạy thực hành về đo liều, che chắn bức xạ và tẩy xạ.</w:t>
      </w:r>
    </w:p>
    <w:p w:rsidR="003336CD" w:rsidRPr="00DE0E0C" w:rsidRDefault="003336CD" w:rsidP="008E16DB">
      <w:pPr>
        <w:pStyle w:val="ListParagraph"/>
        <w:tabs>
          <w:tab w:val="left" w:pos="567"/>
        </w:tabs>
        <w:spacing w:before="120" w:after="120"/>
        <w:jc w:val="center"/>
        <w:rPr>
          <w:rFonts w:ascii="Times New Roman" w:hAnsi="Times New Roman"/>
          <w:i/>
          <w:sz w:val="26"/>
          <w:szCs w:val="26"/>
          <w:lang w:val="pt-BR"/>
        </w:rPr>
      </w:pPr>
      <w:r w:rsidRPr="00DE0E0C">
        <w:rPr>
          <w:rFonts w:ascii="Times New Roman" w:hAnsi="Times New Roman"/>
          <w:b/>
          <w:i/>
          <w:sz w:val="26"/>
          <w:szCs w:val="26"/>
          <w:lang w:val="pt-BR"/>
        </w:rPr>
        <w:t>Bảng 1.</w:t>
      </w:r>
      <w:r w:rsidRPr="00DE0E0C">
        <w:rPr>
          <w:rFonts w:ascii="Times New Roman" w:hAnsi="Times New Roman"/>
          <w:i/>
          <w:sz w:val="26"/>
          <w:szCs w:val="26"/>
          <w:lang w:val="pt-BR"/>
        </w:rPr>
        <w:t xml:space="preserve"> Các thiết bị đo liều </w:t>
      </w:r>
      <w:r w:rsidR="009E72CC">
        <w:rPr>
          <w:rFonts w:ascii="Times New Roman" w:hAnsi="Times New Roman"/>
          <w:i/>
          <w:sz w:val="26"/>
          <w:szCs w:val="26"/>
          <w:lang w:val="pt-BR"/>
        </w:rPr>
        <w:t xml:space="preserve">chính </w:t>
      </w:r>
      <w:r w:rsidRPr="00DE0E0C">
        <w:rPr>
          <w:rFonts w:ascii="Times New Roman" w:hAnsi="Times New Roman"/>
          <w:i/>
          <w:sz w:val="26"/>
          <w:szCs w:val="26"/>
          <w:lang w:val="pt-BR"/>
        </w:rPr>
        <w:t>dùng cho giảng dạy ATBX.</w:t>
      </w: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06"/>
        <w:gridCol w:w="1139"/>
        <w:gridCol w:w="1474"/>
        <w:gridCol w:w="2126"/>
        <w:gridCol w:w="1701"/>
      </w:tblGrid>
      <w:tr w:rsidR="003336CD" w:rsidRPr="008E58D8" w:rsidTr="006C41FF">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336CD" w:rsidRPr="00DE0E0C" w:rsidRDefault="003336CD" w:rsidP="008E16DB">
            <w:pPr>
              <w:tabs>
                <w:tab w:val="left" w:pos="567"/>
              </w:tabs>
              <w:spacing w:before="120" w:after="120"/>
              <w:jc w:val="center"/>
              <w:rPr>
                <w:rFonts w:ascii="Times New Roman" w:hAnsi="Times New Roman"/>
                <w:b/>
                <w:szCs w:val="26"/>
              </w:rPr>
            </w:pPr>
            <w:r w:rsidRPr="00DE0E0C">
              <w:rPr>
                <w:rFonts w:ascii="Times New Roman" w:hAnsi="Times New Roman"/>
                <w:b/>
                <w:szCs w:val="26"/>
              </w:rPr>
              <w:t>TT</w:t>
            </w:r>
          </w:p>
        </w:tc>
        <w:tc>
          <w:tcPr>
            <w:tcW w:w="1906" w:type="dxa"/>
            <w:tcBorders>
              <w:top w:val="single" w:sz="4" w:space="0" w:color="auto"/>
              <w:left w:val="single" w:sz="4" w:space="0" w:color="auto"/>
              <w:bottom w:val="single" w:sz="4" w:space="0" w:color="auto"/>
              <w:right w:val="single" w:sz="4" w:space="0" w:color="auto"/>
            </w:tcBorders>
            <w:vAlign w:val="center"/>
          </w:tcPr>
          <w:p w:rsidR="003336CD" w:rsidRPr="005036C2" w:rsidRDefault="003336CD" w:rsidP="008E16DB">
            <w:pPr>
              <w:tabs>
                <w:tab w:val="left" w:pos="567"/>
              </w:tabs>
              <w:spacing w:before="120" w:after="120"/>
              <w:jc w:val="center"/>
              <w:rPr>
                <w:rFonts w:ascii="Times New Roman" w:hAnsi="Times New Roman"/>
                <w:b/>
                <w:szCs w:val="26"/>
              </w:rPr>
            </w:pPr>
            <w:proofErr w:type="spellStart"/>
            <w:r w:rsidRPr="005036C2">
              <w:rPr>
                <w:rFonts w:ascii="Times New Roman" w:hAnsi="Times New Roman"/>
                <w:b/>
                <w:szCs w:val="26"/>
              </w:rPr>
              <w:t>Tên</w:t>
            </w:r>
            <w:proofErr w:type="spellEnd"/>
            <w:r w:rsidRPr="005036C2">
              <w:rPr>
                <w:rFonts w:ascii="Times New Roman" w:hAnsi="Times New Roman"/>
                <w:b/>
                <w:szCs w:val="26"/>
              </w:rPr>
              <w:t xml:space="preserve"> </w:t>
            </w:r>
            <w:proofErr w:type="spellStart"/>
            <w:r w:rsidRPr="005036C2">
              <w:rPr>
                <w:rFonts w:ascii="Times New Roman" w:hAnsi="Times New Roman"/>
                <w:b/>
                <w:szCs w:val="26"/>
              </w:rPr>
              <w:t>thiết</w:t>
            </w:r>
            <w:proofErr w:type="spellEnd"/>
            <w:r w:rsidRPr="005036C2">
              <w:rPr>
                <w:rFonts w:ascii="Times New Roman" w:hAnsi="Times New Roman"/>
                <w:b/>
                <w:szCs w:val="26"/>
              </w:rPr>
              <w:t xml:space="preserve"> </w:t>
            </w:r>
            <w:proofErr w:type="spellStart"/>
            <w:r w:rsidRPr="005036C2">
              <w:rPr>
                <w:rFonts w:ascii="Times New Roman" w:hAnsi="Times New Roman"/>
                <w:b/>
                <w:szCs w:val="26"/>
              </w:rPr>
              <w:t>bị</w:t>
            </w:r>
            <w:proofErr w:type="spellEnd"/>
          </w:p>
        </w:tc>
        <w:tc>
          <w:tcPr>
            <w:tcW w:w="1139" w:type="dxa"/>
            <w:tcBorders>
              <w:top w:val="single" w:sz="4" w:space="0" w:color="auto"/>
              <w:left w:val="single" w:sz="4" w:space="0" w:color="auto"/>
              <w:bottom w:val="single" w:sz="4" w:space="0" w:color="auto"/>
              <w:right w:val="single" w:sz="4" w:space="0" w:color="auto"/>
            </w:tcBorders>
            <w:vAlign w:val="center"/>
          </w:tcPr>
          <w:p w:rsidR="003336CD" w:rsidRPr="005036C2" w:rsidRDefault="003336CD" w:rsidP="008E16DB">
            <w:pPr>
              <w:tabs>
                <w:tab w:val="left" w:pos="567"/>
              </w:tabs>
              <w:spacing w:before="120" w:after="120"/>
              <w:jc w:val="center"/>
              <w:rPr>
                <w:rFonts w:ascii="Times New Roman" w:hAnsi="Times New Roman"/>
                <w:b/>
                <w:szCs w:val="26"/>
              </w:rPr>
            </w:pPr>
            <w:proofErr w:type="spellStart"/>
            <w:r w:rsidRPr="005036C2">
              <w:rPr>
                <w:rFonts w:ascii="Times New Roman" w:hAnsi="Times New Roman"/>
                <w:b/>
                <w:szCs w:val="26"/>
              </w:rPr>
              <w:t>Hãng</w:t>
            </w:r>
            <w:proofErr w:type="spellEnd"/>
            <w:r w:rsidRPr="005036C2">
              <w:rPr>
                <w:rFonts w:ascii="Times New Roman" w:hAnsi="Times New Roman"/>
                <w:b/>
                <w:szCs w:val="26"/>
              </w:rPr>
              <w:t xml:space="preserve"> </w:t>
            </w:r>
            <w:proofErr w:type="spellStart"/>
            <w:r w:rsidRPr="005036C2">
              <w:rPr>
                <w:rFonts w:ascii="Times New Roman" w:hAnsi="Times New Roman"/>
                <w:b/>
                <w:szCs w:val="26"/>
              </w:rPr>
              <w:t>sản</w:t>
            </w:r>
            <w:proofErr w:type="spellEnd"/>
            <w:r w:rsidRPr="005036C2">
              <w:rPr>
                <w:rFonts w:ascii="Times New Roman" w:hAnsi="Times New Roman"/>
                <w:b/>
                <w:szCs w:val="26"/>
              </w:rPr>
              <w:t xml:space="preserve"> </w:t>
            </w:r>
            <w:proofErr w:type="spellStart"/>
            <w:r w:rsidRPr="005036C2">
              <w:rPr>
                <w:rFonts w:ascii="Times New Roman" w:hAnsi="Times New Roman"/>
                <w:b/>
                <w:szCs w:val="26"/>
              </w:rPr>
              <w:t>xuất</w:t>
            </w:r>
            <w:proofErr w:type="spellEnd"/>
          </w:p>
        </w:tc>
        <w:tc>
          <w:tcPr>
            <w:tcW w:w="1474" w:type="dxa"/>
            <w:tcBorders>
              <w:top w:val="single" w:sz="4" w:space="0" w:color="auto"/>
              <w:left w:val="single" w:sz="4" w:space="0" w:color="auto"/>
              <w:bottom w:val="single" w:sz="4" w:space="0" w:color="auto"/>
              <w:right w:val="single" w:sz="4" w:space="0" w:color="auto"/>
            </w:tcBorders>
            <w:vAlign w:val="center"/>
          </w:tcPr>
          <w:p w:rsidR="003336CD" w:rsidRPr="005036C2" w:rsidRDefault="003336CD" w:rsidP="008E16DB">
            <w:pPr>
              <w:tabs>
                <w:tab w:val="left" w:pos="567"/>
              </w:tabs>
              <w:spacing w:before="120" w:after="120"/>
              <w:jc w:val="center"/>
              <w:rPr>
                <w:rFonts w:ascii="Times New Roman" w:hAnsi="Times New Roman"/>
                <w:b/>
                <w:szCs w:val="26"/>
              </w:rPr>
            </w:pPr>
            <w:proofErr w:type="spellStart"/>
            <w:r w:rsidRPr="005036C2">
              <w:rPr>
                <w:rFonts w:ascii="Times New Roman" w:hAnsi="Times New Roman"/>
                <w:b/>
                <w:szCs w:val="26"/>
              </w:rPr>
              <w:t>Mã</w:t>
            </w:r>
            <w:proofErr w:type="spellEnd"/>
            <w:r w:rsidRPr="005036C2">
              <w:rPr>
                <w:rFonts w:ascii="Times New Roman" w:hAnsi="Times New Roman"/>
                <w:b/>
                <w:szCs w:val="26"/>
              </w:rPr>
              <w:t xml:space="preserve"> </w:t>
            </w:r>
            <w:proofErr w:type="spellStart"/>
            <w:r w:rsidRPr="005036C2">
              <w:rPr>
                <w:rFonts w:ascii="Times New Roman" w:hAnsi="Times New Roman"/>
                <w:b/>
                <w:szCs w:val="26"/>
              </w:rPr>
              <w:t>hiệu</w:t>
            </w:r>
            <w:proofErr w:type="spellEnd"/>
            <w:r w:rsidRPr="005036C2">
              <w:rPr>
                <w:rFonts w:ascii="Times New Roman" w:hAnsi="Times New Roman"/>
                <w:b/>
                <w:szCs w:val="26"/>
              </w:rPr>
              <w:t>/</w:t>
            </w:r>
            <w:proofErr w:type="spellStart"/>
            <w:r w:rsidRPr="005036C2">
              <w:rPr>
                <w:rFonts w:ascii="Times New Roman" w:hAnsi="Times New Roman"/>
                <w:b/>
                <w:szCs w:val="26"/>
              </w:rPr>
              <w:t>số</w:t>
            </w:r>
            <w:proofErr w:type="spellEnd"/>
            <w:r w:rsidRPr="005036C2">
              <w:rPr>
                <w:rFonts w:ascii="Times New Roman" w:hAnsi="Times New Roman"/>
                <w:b/>
                <w:szCs w:val="26"/>
              </w:rPr>
              <w:t xml:space="preserve"> </w:t>
            </w:r>
            <w:proofErr w:type="spellStart"/>
            <w:r w:rsidRPr="005036C2">
              <w:rPr>
                <w:rFonts w:ascii="Times New Roman" w:hAnsi="Times New Roman"/>
                <w:b/>
                <w:szCs w:val="26"/>
              </w:rPr>
              <w:t>hiệu</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3336CD" w:rsidRPr="005036C2" w:rsidRDefault="003336CD" w:rsidP="008E16DB">
            <w:pPr>
              <w:tabs>
                <w:tab w:val="left" w:pos="567"/>
              </w:tabs>
              <w:spacing w:before="120" w:after="120"/>
              <w:jc w:val="center"/>
              <w:rPr>
                <w:rFonts w:ascii="Times New Roman" w:hAnsi="Times New Roman"/>
                <w:b/>
                <w:szCs w:val="26"/>
              </w:rPr>
            </w:pPr>
            <w:proofErr w:type="spellStart"/>
            <w:r w:rsidRPr="005036C2">
              <w:rPr>
                <w:rFonts w:ascii="Times New Roman" w:hAnsi="Times New Roman"/>
                <w:b/>
                <w:szCs w:val="26"/>
              </w:rPr>
              <w:t>Phạm</w:t>
            </w:r>
            <w:proofErr w:type="spellEnd"/>
            <w:r w:rsidRPr="005036C2">
              <w:rPr>
                <w:rFonts w:ascii="Times New Roman" w:hAnsi="Times New Roman"/>
                <w:b/>
                <w:szCs w:val="26"/>
              </w:rPr>
              <w:t xml:space="preserve"> vi </w:t>
            </w:r>
            <w:proofErr w:type="spellStart"/>
            <w:r w:rsidRPr="005036C2">
              <w:rPr>
                <w:rFonts w:ascii="Times New Roman" w:hAnsi="Times New Roman"/>
                <w:b/>
                <w:szCs w:val="26"/>
              </w:rPr>
              <w:t>đo</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3336CD" w:rsidRPr="005036C2" w:rsidRDefault="003336CD" w:rsidP="008E16DB">
            <w:pPr>
              <w:tabs>
                <w:tab w:val="left" w:pos="567"/>
              </w:tabs>
              <w:spacing w:before="120" w:after="120"/>
              <w:jc w:val="center"/>
              <w:rPr>
                <w:rFonts w:ascii="Times New Roman" w:hAnsi="Times New Roman"/>
                <w:b/>
                <w:szCs w:val="26"/>
              </w:rPr>
            </w:pPr>
            <w:proofErr w:type="spellStart"/>
            <w:r w:rsidRPr="005036C2">
              <w:rPr>
                <w:rFonts w:ascii="Times New Roman" w:hAnsi="Times New Roman"/>
                <w:b/>
                <w:szCs w:val="26"/>
              </w:rPr>
              <w:t>Độ</w:t>
            </w:r>
            <w:proofErr w:type="spellEnd"/>
            <w:r w:rsidRPr="005036C2">
              <w:rPr>
                <w:rFonts w:ascii="Times New Roman" w:hAnsi="Times New Roman"/>
                <w:b/>
                <w:szCs w:val="26"/>
              </w:rPr>
              <w:t xml:space="preserve"> </w:t>
            </w:r>
            <w:proofErr w:type="spellStart"/>
            <w:r w:rsidRPr="005036C2">
              <w:rPr>
                <w:rFonts w:ascii="Times New Roman" w:hAnsi="Times New Roman"/>
                <w:b/>
                <w:szCs w:val="26"/>
              </w:rPr>
              <w:t>chính</w:t>
            </w:r>
            <w:proofErr w:type="spellEnd"/>
            <w:r w:rsidRPr="005036C2">
              <w:rPr>
                <w:rFonts w:ascii="Times New Roman" w:hAnsi="Times New Roman"/>
                <w:b/>
                <w:szCs w:val="26"/>
              </w:rPr>
              <w:t xml:space="preserve"> </w:t>
            </w:r>
            <w:proofErr w:type="spellStart"/>
            <w:r w:rsidRPr="005036C2">
              <w:rPr>
                <w:rFonts w:ascii="Times New Roman" w:hAnsi="Times New Roman"/>
                <w:b/>
                <w:szCs w:val="26"/>
              </w:rPr>
              <w:t>xác</w:t>
            </w:r>
            <w:proofErr w:type="spellEnd"/>
          </w:p>
        </w:tc>
      </w:tr>
      <w:tr w:rsidR="003336CD" w:rsidRPr="008E58D8" w:rsidTr="006C41FF">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6"/>
              </w:rPr>
            </w:pPr>
            <w:r w:rsidRPr="008E58D8">
              <w:rPr>
                <w:rFonts w:ascii="Times New Roman" w:hAnsi="Times New Roman"/>
                <w:szCs w:val="26"/>
              </w:rPr>
              <w:t>1</w:t>
            </w:r>
          </w:p>
        </w:tc>
        <w:tc>
          <w:tcPr>
            <w:tcW w:w="1906"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rPr>
                <w:rFonts w:ascii="Times New Roman" w:hAnsi="Times New Roman"/>
                <w:szCs w:val="24"/>
              </w:rPr>
            </w:pPr>
            <w:proofErr w:type="spellStart"/>
            <w:r w:rsidRPr="008E58D8">
              <w:rPr>
                <w:rFonts w:ascii="Times New Roman" w:hAnsi="Times New Roman"/>
                <w:bCs/>
                <w:szCs w:val="24"/>
              </w:rPr>
              <w:t>Máy</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đo</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liều</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nơtron</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xách</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tay</w:t>
            </w:r>
            <w:proofErr w:type="spellEnd"/>
          </w:p>
        </w:tc>
        <w:tc>
          <w:tcPr>
            <w:tcW w:w="1139"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4"/>
              </w:rPr>
            </w:pPr>
            <w:proofErr w:type="spellStart"/>
            <w:r w:rsidRPr="008E58D8">
              <w:rPr>
                <w:rFonts w:ascii="Times New Roman" w:hAnsi="Times New Roman"/>
                <w:szCs w:val="24"/>
              </w:rPr>
              <w:t>Aloka</w:t>
            </w:r>
            <w:proofErr w:type="spellEnd"/>
          </w:p>
        </w:tc>
        <w:tc>
          <w:tcPr>
            <w:tcW w:w="1474"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i/>
                <w:szCs w:val="24"/>
              </w:rPr>
            </w:pPr>
            <w:r>
              <w:rPr>
                <w:rFonts w:ascii="Times New Roman" w:hAnsi="Times New Roman"/>
                <w:i/>
                <w:szCs w:val="24"/>
              </w:rPr>
              <w:t>TPS-</w:t>
            </w:r>
            <w:r w:rsidRPr="008E58D8">
              <w:rPr>
                <w:rFonts w:ascii="Times New Roman" w:hAnsi="Times New Roman"/>
                <w:i/>
                <w:szCs w:val="24"/>
              </w:rPr>
              <w:t>451C</w:t>
            </w:r>
          </w:p>
        </w:tc>
        <w:tc>
          <w:tcPr>
            <w:tcW w:w="2126"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4"/>
              </w:rPr>
            </w:pPr>
            <w:r w:rsidRPr="008E58D8">
              <w:rPr>
                <w:rFonts w:ascii="Times New Roman" w:hAnsi="Times New Roman"/>
                <w:szCs w:val="24"/>
                <w:shd w:val="clear" w:color="auto" w:fill="FFFFFF"/>
              </w:rPr>
              <w:t>0,1μSv/h to 10</w:t>
            </w:r>
            <w:r w:rsidRPr="008E58D8">
              <w:rPr>
                <w:rFonts w:ascii="Times New Roman" w:hAnsi="Times New Roman"/>
                <w:szCs w:val="24"/>
                <w:bdr w:val="none" w:sz="0" w:space="0" w:color="auto" w:frame="1"/>
                <w:shd w:val="clear" w:color="auto" w:fill="FFFFFF"/>
                <w:vertAlign w:val="superscript"/>
              </w:rPr>
              <w:t>4</w:t>
            </w:r>
            <w:r w:rsidRPr="008E58D8">
              <w:rPr>
                <w:rFonts w:ascii="Times New Roman" w:hAnsi="Times New Roman"/>
                <w:szCs w:val="24"/>
                <w:shd w:val="clear" w:color="auto" w:fill="FFFFFF"/>
              </w:rPr>
              <w:t xml:space="preserve">μSv/h (5-digit log </w:t>
            </w:r>
            <w:proofErr w:type="spellStart"/>
            <w:r w:rsidRPr="008E58D8">
              <w:rPr>
                <w:rFonts w:ascii="Times New Roman" w:hAnsi="Times New Roman"/>
                <w:szCs w:val="24"/>
                <w:shd w:val="clear" w:color="auto" w:fill="FFFFFF"/>
              </w:rPr>
              <w:t>ratemeter</w:t>
            </w:r>
            <w:proofErr w:type="spellEnd"/>
            <w:r w:rsidRPr="008E58D8">
              <w:rPr>
                <w:rFonts w:ascii="Times New Roman" w:hAnsi="Times New Roman"/>
                <w:szCs w:val="24"/>
                <w:shd w:val="clear" w:color="auto" w:fill="FFFFFF"/>
              </w:rPr>
              <w:t>)</w:t>
            </w:r>
            <w:r w:rsidRPr="008E58D8">
              <w:rPr>
                <w:rFonts w:ascii="Times New Roman" w:hAnsi="Times New Roman"/>
                <w:szCs w:val="24"/>
              </w:rPr>
              <w:br/>
            </w:r>
            <w:r w:rsidRPr="008E58D8">
              <w:rPr>
                <w:rFonts w:ascii="Times New Roman" w:hAnsi="Times New Roman"/>
                <w:szCs w:val="24"/>
                <w:shd w:val="clear" w:color="auto" w:fill="FFFFFF"/>
              </w:rPr>
              <w:t>Digital</w:t>
            </w:r>
            <w:r w:rsidRPr="008E58D8">
              <w:rPr>
                <w:rFonts w:ascii="Times New Roman" w:hAnsi="Times New Roman"/>
                <w:szCs w:val="24"/>
              </w:rPr>
              <w:br/>
            </w:r>
            <w:r w:rsidRPr="008E58D8">
              <w:rPr>
                <w:rFonts w:ascii="Times New Roman" w:hAnsi="Times New Roman"/>
                <w:szCs w:val="24"/>
                <w:shd w:val="clear" w:color="auto" w:fill="FFFFFF"/>
              </w:rPr>
              <w:t>0,01μSv/h to 9,999μSv/h</w:t>
            </w:r>
            <w:r w:rsidRPr="008E58D8">
              <w:rPr>
                <w:rFonts w:ascii="Times New Roman" w:hAnsi="Times New Roman"/>
                <w:szCs w:val="24"/>
              </w:rPr>
              <w:br/>
            </w:r>
            <w:r w:rsidRPr="008E58D8">
              <w:rPr>
                <w:rFonts w:ascii="Times New Roman" w:hAnsi="Times New Roman"/>
                <w:szCs w:val="24"/>
                <w:shd w:val="clear" w:color="auto" w:fill="FFFFFF"/>
              </w:rPr>
              <w:t>0,01μSv to 9,999μSv</w:t>
            </w:r>
            <w:r w:rsidRPr="008E58D8">
              <w:rPr>
                <w:rFonts w:ascii="Times New Roman" w:hAnsi="Times New Roman"/>
                <w:szCs w:val="24"/>
              </w:rPr>
              <w:br/>
            </w:r>
            <w:r w:rsidRPr="008E58D8">
              <w:rPr>
                <w:rFonts w:ascii="Times New Roman" w:hAnsi="Times New Roman"/>
                <w:szCs w:val="24"/>
                <w:shd w:val="clear" w:color="auto" w:fill="FFFFFF"/>
              </w:rPr>
              <w:t>(4-digit LCD)</w:t>
            </w:r>
          </w:p>
        </w:tc>
        <w:tc>
          <w:tcPr>
            <w:tcW w:w="1701"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4"/>
              </w:rPr>
            </w:pPr>
            <w:r w:rsidRPr="008E58D8">
              <w:rPr>
                <w:rFonts w:ascii="Times New Roman" w:hAnsi="Times New Roman"/>
                <w:szCs w:val="24"/>
                <w:shd w:val="clear" w:color="auto" w:fill="FFFFFF"/>
              </w:rPr>
              <w:t xml:space="preserve">Neutron </w:t>
            </w:r>
            <w:proofErr w:type="spellStart"/>
            <w:r w:rsidRPr="008E58D8">
              <w:rPr>
                <w:rFonts w:ascii="Times New Roman" w:hAnsi="Times New Roman"/>
                <w:szCs w:val="24"/>
                <w:shd w:val="clear" w:color="auto" w:fill="FFFFFF"/>
              </w:rPr>
              <w:t>sensititivy</w:t>
            </w:r>
            <w:proofErr w:type="spellEnd"/>
            <w:r w:rsidRPr="008E58D8">
              <w:rPr>
                <w:rFonts w:ascii="Times New Roman" w:hAnsi="Times New Roman"/>
                <w:szCs w:val="24"/>
                <w:shd w:val="clear" w:color="auto" w:fill="FFFFFF"/>
              </w:rPr>
              <w:t>:</w:t>
            </w:r>
            <w:r>
              <w:rPr>
                <w:rFonts w:ascii="Times New Roman" w:hAnsi="Times New Roman"/>
                <w:szCs w:val="24"/>
                <w:shd w:val="clear" w:color="auto" w:fill="FFFFFF"/>
              </w:rPr>
              <w:t xml:space="preserve"> </w:t>
            </w:r>
            <w:r w:rsidRPr="008E58D8">
              <w:rPr>
                <w:rFonts w:ascii="Times New Roman" w:hAnsi="Times New Roman"/>
                <w:szCs w:val="24"/>
                <w:shd w:val="clear" w:color="auto" w:fill="FFFFFF"/>
              </w:rPr>
              <w:t>approx.1.4</w:t>
            </w:r>
            <w:r>
              <w:rPr>
                <w:rFonts w:ascii="Times New Roman" w:hAnsi="Times New Roman"/>
                <w:szCs w:val="24"/>
                <w:shd w:val="clear" w:color="auto" w:fill="FFFFFF"/>
              </w:rPr>
              <w:t xml:space="preserve"> </w:t>
            </w:r>
            <w:r w:rsidRPr="008E58D8">
              <w:rPr>
                <w:rFonts w:ascii="Times New Roman" w:hAnsi="Times New Roman"/>
                <w:szCs w:val="24"/>
                <w:shd w:val="clear" w:color="auto" w:fill="FFFFFF"/>
              </w:rPr>
              <w:t>s</w:t>
            </w:r>
            <w:r w:rsidRPr="008E58D8">
              <w:rPr>
                <w:rFonts w:ascii="Times New Roman" w:hAnsi="Times New Roman"/>
                <w:szCs w:val="24"/>
                <w:bdr w:val="none" w:sz="0" w:space="0" w:color="auto" w:frame="1"/>
                <w:shd w:val="clear" w:color="auto" w:fill="FFFFFF"/>
                <w:vertAlign w:val="superscript"/>
              </w:rPr>
              <w:t>-1</w:t>
            </w:r>
            <w:r w:rsidRPr="008E58D8">
              <w:rPr>
                <w:rFonts w:ascii="Times New Roman" w:hAnsi="Times New Roman"/>
                <w:szCs w:val="24"/>
                <w:shd w:val="clear" w:color="auto" w:fill="FFFFFF"/>
              </w:rPr>
              <w:t>/μSvh</w:t>
            </w:r>
            <w:r w:rsidRPr="008E58D8">
              <w:rPr>
                <w:rFonts w:ascii="Times New Roman" w:hAnsi="Times New Roman"/>
                <w:szCs w:val="24"/>
                <w:bdr w:val="none" w:sz="0" w:space="0" w:color="auto" w:frame="1"/>
                <w:shd w:val="clear" w:color="auto" w:fill="FFFFFF"/>
                <w:vertAlign w:val="superscript"/>
              </w:rPr>
              <w:t>-1</w:t>
            </w:r>
          </w:p>
        </w:tc>
      </w:tr>
      <w:tr w:rsidR="003336CD" w:rsidRPr="008E58D8" w:rsidTr="006C41FF">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6"/>
              </w:rPr>
            </w:pPr>
            <w:r w:rsidRPr="008E58D8">
              <w:rPr>
                <w:rFonts w:ascii="Times New Roman" w:hAnsi="Times New Roman"/>
                <w:szCs w:val="26"/>
              </w:rPr>
              <w:t>2</w:t>
            </w:r>
          </w:p>
        </w:tc>
        <w:tc>
          <w:tcPr>
            <w:tcW w:w="1906"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rPr>
                <w:rFonts w:ascii="Times New Roman" w:hAnsi="Times New Roman"/>
                <w:szCs w:val="24"/>
              </w:rPr>
            </w:pPr>
            <w:proofErr w:type="spellStart"/>
            <w:r w:rsidRPr="008E58D8">
              <w:rPr>
                <w:rFonts w:ascii="Times New Roman" w:hAnsi="Times New Roman"/>
                <w:bCs/>
                <w:szCs w:val="24"/>
              </w:rPr>
              <w:t>Máy</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đo</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liều</w:t>
            </w:r>
            <w:proofErr w:type="spellEnd"/>
            <w:r w:rsidRPr="008E58D8">
              <w:rPr>
                <w:rFonts w:ascii="Times New Roman" w:hAnsi="Times New Roman"/>
                <w:bCs/>
                <w:szCs w:val="24"/>
              </w:rPr>
              <w:t xml:space="preserve"> gamma </w:t>
            </w:r>
            <w:proofErr w:type="spellStart"/>
            <w:r w:rsidRPr="008E58D8">
              <w:rPr>
                <w:rFonts w:ascii="Times New Roman" w:hAnsi="Times New Roman"/>
                <w:bCs/>
                <w:szCs w:val="24"/>
              </w:rPr>
              <w:t>xách</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tay</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sử</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dụng</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đầu</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dò</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nhấp</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nháy</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NaI</w:t>
            </w:r>
            <w:proofErr w:type="spellEnd"/>
            <w:r w:rsidRPr="008E58D8">
              <w:rPr>
                <w:rFonts w:ascii="Times New Roman" w:hAnsi="Times New Roman"/>
                <w:bCs/>
                <w:szCs w:val="24"/>
              </w:rPr>
              <w:t>(</w:t>
            </w:r>
            <w:proofErr w:type="spellStart"/>
            <w:r w:rsidRPr="008E58D8">
              <w:rPr>
                <w:rFonts w:ascii="Times New Roman" w:hAnsi="Times New Roman"/>
                <w:bCs/>
                <w:szCs w:val="24"/>
              </w:rPr>
              <w:t>Tl</w:t>
            </w:r>
            <w:proofErr w:type="spellEnd"/>
            <w:r w:rsidRPr="008E58D8">
              <w:rPr>
                <w:rFonts w:ascii="Times New Roman" w:hAnsi="Times New Roman"/>
                <w:bCs/>
                <w:szCs w:val="24"/>
              </w:rPr>
              <w:t>)</w:t>
            </w:r>
          </w:p>
        </w:tc>
        <w:tc>
          <w:tcPr>
            <w:tcW w:w="1139"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4"/>
              </w:rPr>
            </w:pPr>
            <w:proofErr w:type="spellStart"/>
            <w:r w:rsidRPr="008E58D8">
              <w:rPr>
                <w:rFonts w:ascii="Times New Roman" w:hAnsi="Times New Roman"/>
                <w:szCs w:val="24"/>
              </w:rPr>
              <w:t>Aloka</w:t>
            </w:r>
            <w:proofErr w:type="spellEnd"/>
          </w:p>
        </w:tc>
        <w:tc>
          <w:tcPr>
            <w:tcW w:w="1474"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4"/>
              </w:rPr>
            </w:pPr>
            <w:r>
              <w:rPr>
                <w:rFonts w:ascii="Times New Roman" w:hAnsi="Times New Roman"/>
                <w:szCs w:val="24"/>
              </w:rPr>
              <w:t>TCS-</w:t>
            </w:r>
            <w:r w:rsidRPr="008E58D8">
              <w:rPr>
                <w:rFonts w:ascii="Times New Roman" w:hAnsi="Times New Roman"/>
                <w:szCs w:val="24"/>
              </w:rPr>
              <w:t>172</w:t>
            </w:r>
          </w:p>
        </w:tc>
        <w:tc>
          <w:tcPr>
            <w:tcW w:w="2126"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4"/>
              </w:rPr>
            </w:pPr>
            <w:proofErr w:type="spellStart"/>
            <w:r w:rsidRPr="008E58D8">
              <w:rPr>
                <w:rFonts w:ascii="Times New Roman" w:hAnsi="Times New Roman"/>
                <w:szCs w:val="24"/>
                <w:shd w:val="clear" w:color="auto" w:fill="FFFFFF"/>
              </w:rPr>
              <w:t>Phông</w:t>
            </w:r>
            <w:proofErr w:type="spellEnd"/>
            <w:r w:rsidRPr="008E58D8">
              <w:rPr>
                <w:rFonts w:ascii="Times New Roman" w:hAnsi="Times New Roman"/>
                <w:szCs w:val="24"/>
                <w:shd w:val="clear" w:color="auto" w:fill="FFFFFF"/>
              </w:rPr>
              <w:t xml:space="preserve"> </w:t>
            </w:r>
            <w:proofErr w:type="spellStart"/>
            <w:r w:rsidRPr="008E58D8">
              <w:rPr>
                <w:rFonts w:ascii="Times New Roman" w:hAnsi="Times New Roman"/>
                <w:szCs w:val="24"/>
                <w:shd w:val="clear" w:color="auto" w:fill="FFFFFF"/>
              </w:rPr>
              <w:t>đến</w:t>
            </w:r>
            <w:proofErr w:type="spellEnd"/>
            <w:r w:rsidRPr="008E58D8">
              <w:rPr>
                <w:rFonts w:ascii="Times New Roman" w:hAnsi="Times New Roman"/>
                <w:szCs w:val="24"/>
                <w:shd w:val="clear" w:color="auto" w:fill="FFFFFF"/>
              </w:rPr>
              <w:t xml:space="preserve"> 30,0μSv/h </w:t>
            </w:r>
            <w:proofErr w:type="spellStart"/>
            <w:r w:rsidRPr="008E58D8">
              <w:rPr>
                <w:rFonts w:ascii="Times New Roman" w:hAnsi="Times New Roman"/>
                <w:szCs w:val="24"/>
                <w:shd w:val="clear" w:color="auto" w:fill="FFFFFF"/>
              </w:rPr>
              <w:t>hoặc</w:t>
            </w:r>
            <w:proofErr w:type="spellEnd"/>
            <w:r w:rsidRPr="008E58D8">
              <w:rPr>
                <w:rFonts w:ascii="Times New Roman" w:hAnsi="Times New Roman"/>
                <w:szCs w:val="24"/>
                <w:shd w:val="clear" w:color="auto" w:fill="FFFFFF"/>
              </w:rPr>
              <w:t xml:space="preserve"> 30,0μGy/h</w:t>
            </w:r>
          </w:p>
        </w:tc>
        <w:tc>
          <w:tcPr>
            <w:tcW w:w="1701"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4"/>
              </w:rPr>
            </w:pPr>
            <w:r w:rsidRPr="008E58D8">
              <w:rPr>
                <w:rFonts w:ascii="Times New Roman" w:hAnsi="Times New Roman"/>
                <w:szCs w:val="24"/>
                <w:shd w:val="clear" w:color="auto" w:fill="FFFFFF"/>
              </w:rPr>
              <w:t>±15%</w:t>
            </w:r>
          </w:p>
        </w:tc>
      </w:tr>
      <w:tr w:rsidR="003336CD" w:rsidRPr="008E58D8" w:rsidTr="006C41FF">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6"/>
              </w:rPr>
            </w:pPr>
            <w:r w:rsidRPr="008E58D8">
              <w:rPr>
                <w:rFonts w:ascii="Times New Roman" w:hAnsi="Times New Roman"/>
                <w:szCs w:val="26"/>
              </w:rPr>
              <w:t>3</w:t>
            </w:r>
          </w:p>
        </w:tc>
        <w:tc>
          <w:tcPr>
            <w:tcW w:w="1906"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rPr>
                <w:rFonts w:ascii="Times New Roman" w:hAnsi="Times New Roman"/>
                <w:bCs/>
                <w:szCs w:val="24"/>
              </w:rPr>
            </w:pPr>
            <w:proofErr w:type="spellStart"/>
            <w:r w:rsidRPr="008E58D8">
              <w:rPr>
                <w:rFonts w:ascii="Times New Roman" w:hAnsi="Times New Roman"/>
                <w:bCs/>
                <w:szCs w:val="24"/>
              </w:rPr>
              <w:t>Máy</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đo</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liều</w:t>
            </w:r>
            <w:proofErr w:type="spellEnd"/>
            <w:r w:rsidRPr="008E58D8">
              <w:rPr>
                <w:rFonts w:ascii="Times New Roman" w:hAnsi="Times New Roman"/>
                <w:bCs/>
                <w:szCs w:val="24"/>
              </w:rPr>
              <w:t xml:space="preserve"> gamma </w:t>
            </w:r>
            <w:proofErr w:type="spellStart"/>
            <w:r w:rsidRPr="008E58D8">
              <w:rPr>
                <w:rFonts w:ascii="Times New Roman" w:hAnsi="Times New Roman"/>
                <w:bCs/>
                <w:szCs w:val="24"/>
              </w:rPr>
              <w:t>xách</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tay</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sử</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dụng</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ống</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đếm</w:t>
            </w:r>
            <w:proofErr w:type="spellEnd"/>
            <w:r w:rsidRPr="008E58D8">
              <w:rPr>
                <w:rFonts w:ascii="Times New Roman" w:hAnsi="Times New Roman"/>
                <w:bCs/>
                <w:szCs w:val="24"/>
              </w:rPr>
              <w:t xml:space="preserve"> GM</w:t>
            </w:r>
          </w:p>
        </w:tc>
        <w:tc>
          <w:tcPr>
            <w:tcW w:w="1139"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4"/>
              </w:rPr>
            </w:pPr>
            <w:proofErr w:type="spellStart"/>
            <w:r w:rsidRPr="008E58D8">
              <w:rPr>
                <w:rFonts w:ascii="Times New Roman" w:hAnsi="Times New Roman"/>
                <w:szCs w:val="24"/>
              </w:rPr>
              <w:t>Aloka</w:t>
            </w:r>
            <w:proofErr w:type="spellEnd"/>
          </w:p>
        </w:tc>
        <w:tc>
          <w:tcPr>
            <w:tcW w:w="1474"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4"/>
              </w:rPr>
            </w:pPr>
            <w:r w:rsidRPr="008E58D8">
              <w:rPr>
                <w:rFonts w:ascii="Times New Roman" w:hAnsi="Times New Roman"/>
                <w:szCs w:val="24"/>
              </w:rPr>
              <w:t>TGS-121</w:t>
            </w:r>
          </w:p>
        </w:tc>
        <w:tc>
          <w:tcPr>
            <w:tcW w:w="2126"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4"/>
                <w:shd w:val="clear" w:color="auto" w:fill="FFFFFF"/>
              </w:rPr>
            </w:pPr>
            <w:proofErr w:type="spellStart"/>
            <w:r w:rsidRPr="008E58D8">
              <w:rPr>
                <w:rFonts w:ascii="Times New Roman" w:hAnsi="Times New Roman"/>
                <w:szCs w:val="24"/>
                <w:shd w:val="clear" w:color="auto" w:fill="FFFFFF"/>
              </w:rPr>
              <w:t>Phông</w:t>
            </w:r>
            <w:proofErr w:type="spellEnd"/>
            <w:r w:rsidRPr="008E58D8">
              <w:rPr>
                <w:rFonts w:ascii="Times New Roman" w:hAnsi="Times New Roman"/>
                <w:szCs w:val="24"/>
                <w:shd w:val="clear" w:color="auto" w:fill="FFFFFF"/>
              </w:rPr>
              <w:t xml:space="preserve"> </w:t>
            </w:r>
            <w:proofErr w:type="spellStart"/>
            <w:r w:rsidRPr="008E58D8">
              <w:rPr>
                <w:rFonts w:ascii="Times New Roman" w:hAnsi="Times New Roman"/>
                <w:szCs w:val="24"/>
                <w:shd w:val="clear" w:color="auto" w:fill="FFFFFF"/>
              </w:rPr>
              <w:t>đến</w:t>
            </w:r>
            <w:proofErr w:type="spellEnd"/>
            <w:r w:rsidRPr="008E58D8">
              <w:rPr>
                <w:rFonts w:ascii="Times New Roman" w:hAnsi="Times New Roman"/>
                <w:szCs w:val="24"/>
                <w:shd w:val="clear" w:color="auto" w:fill="FFFFFF"/>
              </w:rPr>
              <w:t xml:space="preserve"> 300 </w:t>
            </w:r>
            <w:proofErr w:type="spellStart"/>
            <w:r w:rsidRPr="008E58D8">
              <w:rPr>
                <w:rFonts w:ascii="Times New Roman" w:hAnsi="Times New Roman"/>
                <w:szCs w:val="24"/>
                <w:shd w:val="clear" w:color="auto" w:fill="FFFFFF"/>
              </w:rPr>
              <w:t>μSv</w:t>
            </w:r>
            <w:proofErr w:type="spellEnd"/>
            <w:r w:rsidRPr="008E58D8">
              <w:rPr>
                <w:rFonts w:ascii="Times New Roman" w:hAnsi="Times New Roman"/>
                <w:szCs w:val="24"/>
                <w:shd w:val="clear" w:color="auto" w:fill="FFFFFF"/>
              </w:rPr>
              <w:t>/h</w:t>
            </w:r>
          </w:p>
        </w:tc>
        <w:tc>
          <w:tcPr>
            <w:tcW w:w="1701"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Style w:val="apple-converted-space"/>
                <w:rFonts w:ascii="Times New Roman" w:hAnsi="Times New Roman"/>
                <w:szCs w:val="24"/>
                <w:shd w:val="clear" w:color="auto" w:fill="FFFFFF"/>
              </w:rPr>
            </w:pPr>
            <w:r w:rsidRPr="008E58D8">
              <w:rPr>
                <w:rFonts w:ascii="Times New Roman" w:hAnsi="Times New Roman"/>
                <w:szCs w:val="24"/>
                <w:shd w:val="clear" w:color="auto" w:fill="FFFFFF"/>
              </w:rPr>
              <w:t>±15%</w:t>
            </w:r>
          </w:p>
        </w:tc>
      </w:tr>
      <w:tr w:rsidR="003336CD" w:rsidRPr="008E58D8" w:rsidTr="006C41FF">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6"/>
              </w:rPr>
            </w:pPr>
            <w:r w:rsidRPr="008E58D8">
              <w:rPr>
                <w:rFonts w:ascii="Times New Roman" w:hAnsi="Times New Roman"/>
                <w:szCs w:val="26"/>
              </w:rPr>
              <w:t>4</w:t>
            </w:r>
          </w:p>
        </w:tc>
        <w:tc>
          <w:tcPr>
            <w:tcW w:w="1906"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rPr>
                <w:rFonts w:ascii="Times New Roman" w:hAnsi="Times New Roman"/>
                <w:bCs/>
                <w:szCs w:val="24"/>
              </w:rPr>
            </w:pPr>
            <w:proofErr w:type="spellStart"/>
            <w:r w:rsidRPr="008E58D8">
              <w:rPr>
                <w:rFonts w:ascii="Times New Roman" w:hAnsi="Times New Roman"/>
                <w:bCs/>
                <w:szCs w:val="24"/>
              </w:rPr>
              <w:t>Máy</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đo</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nhiễm</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bẩn</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bề</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mặt</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xách</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tay</w:t>
            </w:r>
            <w:proofErr w:type="spellEnd"/>
            <w:r w:rsidRPr="008E58D8">
              <w:rPr>
                <w:rFonts w:ascii="Times New Roman" w:hAnsi="Times New Roman"/>
                <w:bCs/>
                <w:szCs w:val="24"/>
              </w:rPr>
              <w:t xml:space="preserve"> </w:t>
            </w:r>
          </w:p>
        </w:tc>
        <w:tc>
          <w:tcPr>
            <w:tcW w:w="1139"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4"/>
              </w:rPr>
            </w:pPr>
            <w:proofErr w:type="spellStart"/>
            <w:r w:rsidRPr="008E58D8">
              <w:rPr>
                <w:rFonts w:ascii="Times New Roman" w:hAnsi="Times New Roman"/>
                <w:szCs w:val="24"/>
              </w:rPr>
              <w:t>Aloka</w:t>
            </w:r>
            <w:proofErr w:type="spellEnd"/>
          </w:p>
        </w:tc>
        <w:tc>
          <w:tcPr>
            <w:tcW w:w="1474"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4"/>
              </w:rPr>
            </w:pPr>
            <w:r w:rsidRPr="008E58D8">
              <w:rPr>
                <w:rFonts w:ascii="Times New Roman" w:hAnsi="Times New Roman"/>
                <w:szCs w:val="24"/>
              </w:rPr>
              <w:t>TGS-146</w:t>
            </w:r>
          </w:p>
        </w:tc>
        <w:tc>
          <w:tcPr>
            <w:tcW w:w="2126"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4"/>
                <w:shd w:val="clear" w:color="auto" w:fill="FFFFFF"/>
              </w:rPr>
            </w:pPr>
            <w:proofErr w:type="spellStart"/>
            <w:r w:rsidRPr="008E58D8">
              <w:rPr>
                <w:rFonts w:ascii="Times New Roman" w:hAnsi="Times New Roman"/>
                <w:szCs w:val="24"/>
                <w:shd w:val="clear" w:color="auto" w:fill="FFFFFF"/>
              </w:rPr>
              <w:t>Phông</w:t>
            </w:r>
            <w:proofErr w:type="spellEnd"/>
            <w:r w:rsidRPr="008E58D8">
              <w:rPr>
                <w:rFonts w:ascii="Times New Roman" w:hAnsi="Times New Roman"/>
                <w:szCs w:val="24"/>
                <w:shd w:val="clear" w:color="auto" w:fill="FFFFFF"/>
              </w:rPr>
              <w:t xml:space="preserve"> </w:t>
            </w:r>
            <w:proofErr w:type="spellStart"/>
            <w:r w:rsidRPr="008E58D8">
              <w:rPr>
                <w:rFonts w:ascii="Times New Roman" w:hAnsi="Times New Roman"/>
                <w:szCs w:val="24"/>
                <w:shd w:val="clear" w:color="auto" w:fill="FFFFFF"/>
              </w:rPr>
              <w:t>đến</w:t>
            </w:r>
            <w:proofErr w:type="spellEnd"/>
            <w:r w:rsidRPr="008E58D8">
              <w:rPr>
                <w:rFonts w:ascii="Times New Roman" w:hAnsi="Times New Roman"/>
                <w:szCs w:val="24"/>
                <w:shd w:val="clear" w:color="auto" w:fill="FFFFFF"/>
              </w:rPr>
              <w:t xml:space="preserve"> 100</w:t>
            </w:r>
            <w:r>
              <w:rPr>
                <w:rFonts w:ascii="Times New Roman" w:hAnsi="Times New Roman"/>
                <w:szCs w:val="24"/>
                <w:shd w:val="clear" w:color="auto" w:fill="FFFFFF"/>
              </w:rPr>
              <w:t xml:space="preserve"> </w:t>
            </w:r>
            <w:r w:rsidRPr="008E58D8">
              <w:rPr>
                <w:rFonts w:ascii="Times New Roman" w:hAnsi="Times New Roman"/>
                <w:szCs w:val="24"/>
                <w:shd w:val="clear" w:color="auto" w:fill="FFFFFF"/>
              </w:rPr>
              <w:t>k.min</w:t>
            </w:r>
            <w:r w:rsidRPr="008E58D8">
              <w:rPr>
                <w:rFonts w:ascii="Times New Roman" w:hAnsi="Times New Roman"/>
                <w:szCs w:val="24"/>
                <w:shd w:val="clear" w:color="auto" w:fill="FFFFFF"/>
                <w:vertAlign w:val="superscript"/>
              </w:rPr>
              <w:t>-1</w:t>
            </w:r>
          </w:p>
        </w:tc>
        <w:tc>
          <w:tcPr>
            <w:tcW w:w="1701"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Style w:val="apple-converted-space"/>
                <w:rFonts w:ascii="Times New Roman" w:hAnsi="Times New Roman"/>
                <w:szCs w:val="24"/>
                <w:shd w:val="clear" w:color="auto" w:fill="FFFFFF"/>
              </w:rPr>
            </w:pPr>
            <w:r w:rsidRPr="008E58D8">
              <w:rPr>
                <w:rFonts w:ascii="Times New Roman" w:hAnsi="Times New Roman"/>
                <w:szCs w:val="24"/>
                <w:shd w:val="clear" w:color="auto" w:fill="FFFFFF"/>
              </w:rPr>
              <w:t>±20%</w:t>
            </w:r>
          </w:p>
        </w:tc>
      </w:tr>
      <w:tr w:rsidR="003336CD" w:rsidRPr="008E58D8" w:rsidTr="006C41FF">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6"/>
              </w:rPr>
            </w:pPr>
            <w:r w:rsidRPr="008E58D8">
              <w:rPr>
                <w:rFonts w:ascii="Times New Roman" w:hAnsi="Times New Roman"/>
                <w:szCs w:val="26"/>
              </w:rPr>
              <w:t>5</w:t>
            </w:r>
          </w:p>
        </w:tc>
        <w:tc>
          <w:tcPr>
            <w:tcW w:w="1906"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rPr>
                <w:rFonts w:ascii="Times New Roman" w:hAnsi="Times New Roman"/>
                <w:bCs/>
                <w:szCs w:val="24"/>
              </w:rPr>
            </w:pPr>
            <w:proofErr w:type="spellStart"/>
            <w:r w:rsidRPr="008E58D8">
              <w:rPr>
                <w:rFonts w:ascii="Times New Roman" w:hAnsi="Times New Roman"/>
                <w:bCs/>
                <w:szCs w:val="24"/>
              </w:rPr>
              <w:t>Liều</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kế</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cá</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nhân</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hiện</w:t>
            </w:r>
            <w:proofErr w:type="spellEnd"/>
            <w:r w:rsidRPr="008E58D8">
              <w:rPr>
                <w:rFonts w:ascii="Times New Roman" w:hAnsi="Times New Roman"/>
                <w:bCs/>
                <w:szCs w:val="24"/>
              </w:rPr>
              <w:t xml:space="preserve"> </w:t>
            </w:r>
            <w:proofErr w:type="spellStart"/>
            <w:r w:rsidRPr="008E58D8">
              <w:rPr>
                <w:rFonts w:ascii="Times New Roman" w:hAnsi="Times New Roman"/>
                <w:bCs/>
                <w:szCs w:val="24"/>
              </w:rPr>
              <w:t>số</w:t>
            </w:r>
            <w:proofErr w:type="spellEnd"/>
          </w:p>
        </w:tc>
        <w:tc>
          <w:tcPr>
            <w:tcW w:w="1139"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4"/>
              </w:rPr>
            </w:pPr>
            <w:proofErr w:type="spellStart"/>
            <w:r w:rsidRPr="008E58D8">
              <w:rPr>
                <w:rFonts w:ascii="Times New Roman" w:hAnsi="Times New Roman"/>
                <w:szCs w:val="24"/>
              </w:rPr>
              <w:t>Aloka</w:t>
            </w:r>
            <w:proofErr w:type="spellEnd"/>
          </w:p>
        </w:tc>
        <w:tc>
          <w:tcPr>
            <w:tcW w:w="1474"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4"/>
              </w:rPr>
            </w:pPr>
            <w:proofErr w:type="spellStart"/>
            <w:r w:rsidRPr="008E58D8">
              <w:rPr>
                <w:rFonts w:ascii="Times New Roman" w:hAnsi="Times New Roman"/>
                <w:szCs w:val="24"/>
              </w:rPr>
              <w:t>MyDose</w:t>
            </w:r>
            <w:proofErr w:type="spellEnd"/>
            <w:r w:rsidRPr="008E58D8">
              <w:rPr>
                <w:rFonts w:ascii="Times New Roman" w:hAnsi="Times New Roman"/>
                <w:szCs w:val="24"/>
              </w:rPr>
              <w:t xml:space="preserve"> – PDM-112</w:t>
            </w:r>
          </w:p>
        </w:tc>
        <w:tc>
          <w:tcPr>
            <w:tcW w:w="2126"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4"/>
              </w:rPr>
            </w:pPr>
            <w:r w:rsidRPr="008E58D8">
              <w:rPr>
                <w:rFonts w:ascii="Times New Roman" w:hAnsi="Times New Roman"/>
                <w:bCs/>
                <w:szCs w:val="24"/>
              </w:rPr>
              <w:t xml:space="preserve">1 – 9999 </w:t>
            </w:r>
            <w:r w:rsidRPr="008E58D8">
              <w:sym w:font="Symbol" w:char="F06D"/>
            </w:r>
            <w:proofErr w:type="spellStart"/>
            <w:r w:rsidRPr="008E58D8">
              <w:rPr>
                <w:rFonts w:ascii="Times New Roman" w:hAnsi="Times New Roman"/>
                <w:bCs/>
                <w:szCs w:val="24"/>
              </w:rPr>
              <w:t>Sv</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3336CD" w:rsidRPr="008E58D8" w:rsidRDefault="003336CD" w:rsidP="008E16DB">
            <w:pPr>
              <w:tabs>
                <w:tab w:val="left" w:pos="567"/>
              </w:tabs>
              <w:spacing w:before="120" w:after="120"/>
              <w:jc w:val="center"/>
              <w:rPr>
                <w:rFonts w:ascii="Times New Roman" w:hAnsi="Times New Roman"/>
                <w:szCs w:val="24"/>
              </w:rPr>
            </w:pPr>
            <w:r w:rsidRPr="008E58D8">
              <w:rPr>
                <w:rFonts w:ascii="Times New Roman" w:hAnsi="Times New Roman"/>
                <w:szCs w:val="24"/>
                <w:shd w:val="clear" w:color="auto" w:fill="FFFFFF"/>
              </w:rPr>
              <w:t>±</w:t>
            </w:r>
            <w:r w:rsidRPr="008E58D8">
              <w:rPr>
                <w:rFonts w:ascii="Times New Roman" w:hAnsi="Times New Roman"/>
                <w:szCs w:val="24"/>
              </w:rPr>
              <w:t>10%</w:t>
            </w:r>
          </w:p>
        </w:tc>
      </w:tr>
    </w:tbl>
    <w:p w:rsidR="003336CD" w:rsidRPr="00DE0E0C" w:rsidRDefault="00455E7E" w:rsidP="00455E7E">
      <w:pPr>
        <w:tabs>
          <w:tab w:val="left" w:pos="567"/>
        </w:tabs>
        <w:spacing w:before="240" w:after="120"/>
        <w:jc w:val="both"/>
        <w:rPr>
          <w:rFonts w:ascii="Times New Roman" w:hAnsi="Times New Roman"/>
          <w:iCs/>
          <w:color w:val="000000"/>
          <w:spacing w:val="1"/>
          <w:sz w:val="26"/>
          <w:szCs w:val="26"/>
          <w:lang w:val="pt-BR"/>
        </w:rPr>
      </w:pPr>
      <w:r>
        <w:rPr>
          <w:rFonts w:ascii="Times New Roman" w:hAnsi="Times New Roman"/>
          <w:sz w:val="26"/>
          <w:szCs w:val="26"/>
          <w:lang w:val="pt-BR"/>
        </w:rPr>
        <w:tab/>
      </w:r>
      <w:r w:rsidR="003336CD" w:rsidRPr="00DE0E0C">
        <w:rPr>
          <w:rFonts w:ascii="Times New Roman" w:hAnsi="Times New Roman"/>
          <w:sz w:val="26"/>
          <w:szCs w:val="26"/>
          <w:lang w:val="pt-BR"/>
        </w:rPr>
        <w:t xml:space="preserve">Về tài liệu giảng dạy ATBX, Viện đã tổ chức biên soạn thành 4 tập với nội dung theo quy định của </w:t>
      </w:r>
      <w:r w:rsidR="003336CD">
        <w:rPr>
          <w:rFonts w:ascii="Times New Roman" w:hAnsi="Times New Roman"/>
          <w:sz w:val="26"/>
          <w:szCs w:val="26"/>
          <w:lang w:val="pt-BR"/>
        </w:rPr>
        <w:t xml:space="preserve">Thông tư </w:t>
      </w:r>
      <w:r w:rsidR="003336CD" w:rsidRPr="00DE0E0C">
        <w:rPr>
          <w:rFonts w:ascii="Times New Roman" w:hAnsi="Times New Roman"/>
          <w:iCs/>
          <w:color w:val="000000"/>
          <w:spacing w:val="1"/>
          <w:sz w:val="26"/>
          <w:szCs w:val="26"/>
          <w:lang w:val="pt-BR"/>
        </w:rPr>
        <w:t>34, tập 1 “An toàn bức xạ trong y tế”, tập 2 “An toàn bức xạ trong công nghiệp”, tập 3 “An toàn bức xạ trong cơ sở hạt nhân”, tập 4 “Ứng phó sự cố bức xạ và quản lý cơ sở bức xạ”. Tập 1&amp;2 đã được Nhà xuất bản Đại học Quốc gia Hà Nội cấp giấy phép xuất bản [3,</w:t>
      </w:r>
      <w:r w:rsidR="003336CD">
        <w:rPr>
          <w:rFonts w:ascii="Times New Roman" w:hAnsi="Times New Roman"/>
          <w:iCs/>
          <w:color w:val="000000"/>
          <w:spacing w:val="1"/>
          <w:sz w:val="26"/>
          <w:szCs w:val="26"/>
          <w:lang w:val="pt-BR"/>
        </w:rPr>
        <w:t xml:space="preserve"> </w:t>
      </w:r>
      <w:r w:rsidR="003336CD" w:rsidRPr="00DE0E0C">
        <w:rPr>
          <w:rFonts w:ascii="Times New Roman" w:hAnsi="Times New Roman"/>
          <w:iCs/>
          <w:color w:val="000000"/>
          <w:spacing w:val="1"/>
          <w:sz w:val="26"/>
          <w:szCs w:val="26"/>
          <w:lang w:val="pt-BR"/>
        </w:rPr>
        <w:t>4]. Hàng năm, các tài liệu được cập nhật, chỉnh sửa và bổ sung để đáp ứng các yêu cầu của công tác giảng dạy và tình hình thực tiễn. Các giảng viên tham gia công tác giảng dạy ATBX phải cập nhật bài giảng hàng năm theo quy định, các bài giảng dưới dạng powerpoint thường xuyên được cập nhật theo xu hướng xúc tích, cô đọng, trực quan và sinh động để học viên dễ tiếp thu hoặc ôn lại kiến thức.</w:t>
      </w:r>
    </w:p>
    <w:p w:rsidR="003336CD" w:rsidRPr="00DE0E0C" w:rsidRDefault="008D7478" w:rsidP="008D7478">
      <w:pPr>
        <w:tabs>
          <w:tab w:val="left" w:pos="567"/>
        </w:tabs>
        <w:spacing w:before="120" w:after="120"/>
        <w:jc w:val="both"/>
        <w:rPr>
          <w:rFonts w:ascii="Times New Roman" w:hAnsi="Times New Roman"/>
          <w:iCs/>
          <w:color w:val="000000"/>
          <w:spacing w:val="1"/>
          <w:sz w:val="26"/>
          <w:szCs w:val="26"/>
          <w:lang w:val="pt-BR"/>
        </w:rPr>
      </w:pPr>
      <w:r>
        <w:rPr>
          <w:rFonts w:ascii="Times New Roman" w:hAnsi="Times New Roman"/>
          <w:iCs/>
          <w:color w:val="000000"/>
          <w:spacing w:val="1"/>
          <w:sz w:val="26"/>
          <w:szCs w:val="26"/>
          <w:lang w:val="pt-BR"/>
        </w:rPr>
        <w:lastRenderedPageBreak/>
        <w:tab/>
      </w:r>
      <w:r w:rsidR="003336CD" w:rsidRPr="00DE0E0C">
        <w:rPr>
          <w:rFonts w:ascii="Times New Roman" w:hAnsi="Times New Roman"/>
          <w:iCs/>
          <w:color w:val="000000"/>
          <w:spacing w:val="1"/>
          <w:sz w:val="26"/>
          <w:szCs w:val="26"/>
          <w:lang w:val="pt-BR"/>
        </w:rPr>
        <w:t xml:space="preserve">Hầu hết các giảng viên tham gia công tác giảng dạy ATBX được tạo điều kiện cho tham dự các khóa huấn luyện nghiệp vụ sư phạm, nhiều giảng viên của </w:t>
      </w:r>
      <w:r w:rsidR="003336CD" w:rsidRPr="00DE0E0C">
        <w:rPr>
          <w:rFonts w:ascii="Times New Roman" w:hAnsi="Times New Roman"/>
          <w:sz w:val="26"/>
          <w:szCs w:val="26"/>
          <w:lang w:val="pt-BR"/>
        </w:rPr>
        <w:t>V</w:t>
      </w:r>
      <w:r w:rsidR="003336CD">
        <w:rPr>
          <w:rFonts w:ascii="Times New Roman" w:hAnsi="Times New Roman"/>
          <w:sz w:val="26"/>
          <w:szCs w:val="26"/>
          <w:lang w:val="pt-BR"/>
        </w:rPr>
        <w:t>iện</w:t>
      </w:r>
      <w:r w:rsidR="003336CD">
        <w:rPr>
          <w:rFonts w:ascii="Times New Roman" w:hAnsi="Times New Roman"/>
          <w:iCs/>
          <w:color w:val="000000"/>
          <w:spacing w:val="1"/>
          <w:sz w:val="26"/>
          <w:szCs w:val="26"/>
          <w:lang w:val="pt-BR"/>
        </w:rPr>
        <w:t xml:space="preserve"> đã được cấp "C</w:t>
      </w:r>
      <w:r w:rsidR="003336CD" w:rsidRPr="00DE0E0C">
        <w:rPr>
          <w:rFonts w:ascii="Times New Roman" w:hAnsi="Times New Roman"/>
          <w:iCs/>
          <w:color w:val="000000"/>
          <w:spacing w:val="1"/>
          <w:sz w:val="26"/>
          <w:szCs w:val="26"/>
          <w:lang w:val="pt-BR"/>
        </w:rPr>
        <w:t>hứng chỉ nghiệp vụ sư phạm giảng dạy đại học, cao đẳng”.</w:t>
      </w:r>
    </w:p>
    <w:p w:rsidR="003336CD" w:rsidRPr="00DE0E0C" w:rsidRDefault="008D7478" w:rsidP="008D7478">
      <w:pPr>
        <w:tabs>
          <w:tab w:val="left" w:pos="567"/>
        </w:tabs>
        <w:spacing w:before="120" w:after="120"/>
        <w:jc w:val="both"/>
        <w:rPr>
          <w:rFonts w:ascii="Times New Roman" w:eastAsia="MS Mincho" w:hAnsi="Times New Roman"/>
          <w:sz w:val="26"/>
          <w:szCs w:val="26"/>
          <w:lang w:val="pt-BR" w:eastAsia="ja-JP"/>
        </w:rPr>
      </w:pPr>
      <w:r>
        <w:rPr>
          <w:rFonts w:ascii="Times New Roman" w:eastAsia="MS Mincho" w:hAnsi="Times New Roman"/>
          <w:sz w:val="26"/>
          <w:szCs w:val="26"/>
          <w:lang w:val="pt-BR" w:eastAsia="ja-JP"/>
        </w:rPr>
        <w:tab/>
      </w:r>
      <w:r w:rsidR="003336CD" w:rsidRPr="00DE0E0C">
        <w:rPr>
          <w:rFonts w:ascii="Times New Roman" w:eastAsia="MS Mincho" w:hAnsi="Times New Roman"/>
          <w:sz w:val="26"/>
          <w:szCs w:val="26"/>
          <w:lang w:val="pt-BR" w:eastAsia="ja-JP"/>
        </w:rPr>
        <w:t>Công tác tổ chức các khóa đào tạo ATBX được thực hiện bởi TTĐT). Các khâu tổ chức được thực hiện theo quy trình và mang tính chuyên nghiệp cao. Hồ sơ của các khóa đào tạo được lập và lưu giữ đầy đủ (trên giấy và trên máy tính), việc tra cứu, đối chiếu thông tin được thực hiện dễ dàng đảm bảo tính chính xác. Công tác giám sát, đánh giá chất lượng khóa học được thực hiện thường xuyên dưới nhiều hình thức khác nhau: phiếu đánh giá, thăm dò ý kiến, trao đổi trực tiế</w:t>
      </w:r>
      <w:r w:rsidR="003336CD">
        <w:rPr>
          <w:rFonts w:ascii="Times New Roman" w:eastAsia="MS Mincho" w:hAnsi="Times New Roman"/>
          <w:sz w:val="26"/>
          <w:szCs w:val="26"/>
          <w:lang w:val="pt-BR" w:eastAsia="ja-JP"/>
        </w:rPr>
        <w:t>p,... C</w:t>
      </w:r>
      <w:r w:rsidR="003336CD" w:rsidRPr="00DE0E0C">
        <w:rPr>
          <w:rFonts w:ascii="Times New Roman" w:eastAsia="MS Mincho" w:hAnsi="Times New Roman"/>
          <w:sz w:val="26"/>
          <w:szCs w:val="26"/>
          <w:lang w:val="pt-BR" w:eastAsia="ja-JP"/>
        </w:rPr>
        <w:t>ông việc kiểm tra đánh giá được thực hiện độc lập với hoạt động giảng dạy. Ngoài việc phân tích các phiếu đánh giá khóa học, công tác lấy mẫu ngẫu nhiên, theo dõi trao đổi trực tiếp với học viên vào các giờ nghỉ, đánh giá mức độ nắm bắt, khả năng vận dụng thực tế kiến thức khóa học trong công tác đảm bảo ATBX luôn đượ</w:t>
      </w:r>
      <w:r w:rsidR="003336CD">
        <w:rPr>
          <w:rFonts w:ascii="Times New Roman" w:eastAsia="MS Mincho" w:hAnsi="Times New Roman"/>
          <w:sz w:val="26"/>
          <w:szCs w:val="26"/>
          <w:lang w:val="pt-BR" w:eastAsia="ja-JP"/>
        </w:rPr>
        <w:t>c Phòng G</w:t>
      </w:r>
      <w:r w:rsidR="003336CD" w:rsidRPr="00DE0E0C">
        <w:rPr>
          <w:rFonts w:ascii="Times New Roman" w:eastAsia="MS Mincho" w:hAnsi="Times New Roman"/>
          <w:sz w:val="26"/>
          <w:szCs w:val="26"/>
          <w:lang w:val="pt-BR" w:eastAsia="ja-JP"/>
        </w:rPr>
        <w:t>iáo vụ Đào tạ</w:t>
      </w:r>
      <w:r w:rsidR="003336CD">
        <w:rPr>
          <w:rFonts w:ascii="Times New Roman" w:eastAsia="MS Mincho" w:hAnsi="Times New Roman"/>
          <w:sz w:val="26"/>
          <w:szCs w:val="26"/>
          <w:lang w:val="pt-BR" w:eastAsia="ja-JP"/>
        </w:rPr>
        <w:t>o và L</w:t>
      </w:r>
      <w:r w:rsidR="003336CD" w:rsidRPr="00DE0E0C">
        <w:rPr>
          <w:rFonts w:ascii="Times New Roman" w:eastAsia="MS Mincho" w:hAnsi="Times New Roman"/>
          <w:sz w:val="26"/>
          <w:szCs w:val="26"/>
          <w:lang w:val="pt-BR" w:eastAsia="ja-JP"/>
        </w:rPr>
        <w:t xml:space="preserve">ãnh đạo TTĐT thực hiện đối với hầu hết các khóa ATBX tổ chức tại </w:t>
      </w:r>
      <w:r w:rsidR="003336CD">
        <w:rPr>
          <w:rFonts w:ascii="Times New Roman" w:eastAsia="MS Mincho" w:hAnsi="Times New Roman"/>
          <w:sz w:val="26"/>
          <w:szCs w:val="26"/>
          <w:lang w:val="pt-BR" w:eastAsia="ja-JP"/>
        </w:rPr>
        <w:t>Trung tâm</w:t>
      </w:r>
      <w:r w:rsidR="003336CD" w:rsidRPr="00DE0E0C">
        <w:rPr>
          <w:rFonts w:ascii="Times New Roman" w:eastAsia="MS Mincho" w:hAnsi="Times New Roman"/>
          <w:sz w:val="26"/>
          <w:szCs w:val="26"/>
          <w:lang w:val="pt-BR" w:eastAsia="ja-JP"/>
        </w:rPr>
        <w:t>. Nhờ đó, các vấn đề liên quan đến chất lượng của khóa học thường xuyên được điều chỉnh để đảm bảo hỗ trợ ở mức tốt nhất có thể cho học viên và cơ sở bức xạ. Các khóa ATBX tổ chức tại TTĐT, ngoài thời gian học chính khóa</w:t>
      </w:r>
      <w:r w:rsidR="003336CD">
        <w:rPr>
          <w:rFonts w:ascii="Times New Roman" w:eastAsia="MS Mincho" w:hAnsi="Times New Roman"/>
          <w:sz w:val="26"/>
          <w:szCs w:val="26"/>
          <w:lang w:val="pt-BR" w:eastAsia="ja-JP"/>
        </w:rPr>
        <w:t>,</w:t>
      </w:r>
      <w:r w:rsidR="003336CD" w:rsidRPr="00DE0E0C">
        <w:rPr>
          <w:rFonts w:ascii="Times New Roman" w:eastAsia="MS Mincho" w:hAnsi="Times New Roman"/>
          <w:sz w:val="26"/>
          <w:szCs w:val="26"/>
          <w:lang w:val="pt-BR" w:eastAsia="ja-JP"/>
        </w:rPr>
        <w:t xml:space="preserve"> học viên còn được tham quan các phòng thí nghiệm, lò phản ứng hạt nhân,</w:t>
      </w:r>
      <w:r w:rsidR="003336CD">
        <w:rPr>
          <w:rFonts w:ascii="Times New Roman" w:eastAsia="MS Mincho" w:hAnsi="Times New Roman"/>
          <w:sz w:val="26"/>
          <w:szCs w:val="26"/>
          <w:lang w:val="pt-BR" w:eastAsia="ja-JP"/>
        </w:rPr>
        <w:t xml:space="preserve"> hệ thống bảo đảm an toàn và an ninh, </w:t>
      </w:r>
      <w:r w:rsidR="003336CD" w:rsidRPr="00DE0E0C">
        <w:rPr>
          <w:rFonts w:ascii="Times New Roman" w:eastAsia="MS Mincho" w:hAnsi="Times New Roman"/>
          <w:sz w:val="26"/>
          <w:szCs w:val="26"/>
          <w:lang w:val="pt-BR" w:eastAsia="ja-JP"/>
        </w:rPr>
        <w:t>... để có những trải nghiệm thực tế về công tác đảm bảo ATBX khi vận hành các thiết bị bức xạ lớn.</w:t>
      </w:r>
    </w:p>
    <w:p w:rsidR="003336CD" w:rsidRPr="00DE0E0C" w:rsidRDefault="003336CD" w:rsidP="008E16DB">
      <w:pPr>
        <w:tabs>
          <w:tab w:val="left" w:pos="567"/>
        </w:tabs>
        <w:spacing w:before="120" w:after="120"/>
        <w:rPr>
          <w:rFonts w:ascii="Times New Roman" w:hAnsi="Times New Roman"/>
          <w:sz w:val="26"/>
          <w:szCs w:val="26"/>
          <w:lang w:val="pt-BR"/>
        </w:rPr>
      </w:pPr>
      <w:r w:rsidRPr="00DE0E0C">
        <w:rPr>
          <w:rFonts w:ascii="Times New Roman" w:hAnsi="Times New Roman"/>
          <w:b/>
          <w:sz w:val="26"/>
          <w:szCs w:val="26"/>
          <w:lang w:val="pt-BR"/>
        </w:rPr>
        <w:t>III. Tình hình thực hiện đ</w:t>
      </w:r>
      <w:r w:rsidRPr="00DE0E0C">
        <w:rPr>
          <w:rFonts w:ascii="Times New Roman" w:hAnsi="Times New Roman" w:cs="Calibri"/>
          <w:b/>
          <w:sz w:val="26"/>
          <w:szCs w:val="26"/>
          <w:lang w:val="pt-BR"/>
        </w:rPr>
        <w:t>ào tạo an toàn bức xạ</w:t>
      </w:r>
    </w:p>
    <w:p w:rsidR="003336CD" w:rsidRPr="00DE0E0C" w:rsidRDefault="008D7478" w:rsidP="008D7478">
      <w:pPr>
        <w:tabs>
          <w:tab w:val="left" w:pos="567"/>
        </w:tabs>
        <w:spacing w:before="120" w:after="120"/>
        <w:jc w:val="both"/>
        <w:rPr>
          <w:rFonts w:ascii="Times New Roman" w:hAnsi="Times New Roman"/>
          <w:iCs/>
          <w:color w:val="000000"/>
          <w:spacing w:val="1"/>
          <w:sz w:val="26"/>
          <w:szCs w:val="26"/>
          <w:lang w:val="pt-BR"/>
        </w:rPr>
      </w:pPr>
      <w:r>
        <w:rPr>
          <w:rFonts w:ascii="Times New Roman" w:hAnsi="Times New Roman"/>
          <w:sz w:val="26"/>
          <w:szCs w:val="26"/>
          <w:lang w:val="pt-BR"/>
        </w:rPr>
        <w:tab/>
      </w:r>
      <w:r w:rsidR="003336CD" w:rsidRPr="00DE0E0C">
        <w:rPr>
          <w:rFonts w:ascii="Times New Roman" w:hAnsi="Times New Roman"/>
          <w:sz w:val="26"/>
          <w:szCs w:val="26"/>
          <w:lang w:val="pt-BR"/>
        </w:rPr>
        <w:t xml:space="preserve">Các khóa đào tạo ATBX được tổ chức đều đặn tại TTĐT với tần suất 1-2 tháng/ khóa, ngoài ra còn có các khóa tổ chức tại các cơ sở bức xạ, các Sở </w:t>
      </w:r>
      <w:r w:rsidR="003336CD">
        <w:rPr>
          <w:rFonts w:ascii="Times New Roman" w:hAnsi="Times New Roman"/>
          <w:sz w:val="26"/>
          <w:szCs w:val="26"/>
          <w:lang w:val="pt-BR"/>
        </w:rPr>
        <w:t>KH&amp;CN</w:t>
      </w:r>
      <w:r w:rsidR="003336CD" w:rsidRPr="00DE0E0C">
        <w:rPr>
          <w:rFonts w:ascii="Times New Roman" w:hAnsi="Times New Roman"/>
          <w:sz w:val="26"/>
          <w:szCs w:val="26"/>
          <w:lang w:val="pt-BR"/>
        </w:rPr>
        <w:t xml:space="preserve"> khi có yêu cầu.</w:t>
      </w:r>
      <w:r w:rsidR="003336CD" w:rsidRPr="00DE0E0C">
        <w:rPr>
          <w:rFonts w:ascii="Times New Roman" w:hAnsi="Times New Roman"/>
          <w:i/>
          <w:iCs/>
          <w:color w:val="000000"/>
          <w:spacing w:val="1"/>
          <w:sz w:val="26"/>
          <w:szCs w:val="26"/>
          <w:lang w:val="pt-BR"/>
        </w:rPr>
        <w:t xml:space="preserve"> </w:t>
      </w:r>
      <w:r w:rsidR="003336CD" w:rsidRPr="00DE0E0C">
        <w:rPr>
          <w:rFonts w:ascii="Times New Roman" w:hAnsi="Times New Roman"/>
          <w:iCs/>
          <w:color w:val="000000"/>
          <w:spacing w:val="1"/>
          <w:sz w:val="26"/>
          <w:szCs w:val="26"/>
          <w:lang w:val="pt-BR"/>
        </w:rPr>
        <w:t>Số lượng các khóa ATBX hàng năm dao động từ 20 ÷ 30 khóa mỗi năm, số lượt học viên tham dự trong các năm 2015, 2016 và 2017 được thống kê trong Bảng 2 và Hình 1.</w:t>
      </w:r>
    </w:p>
    <w:p w:rsidR="003336CD" w:rsidRPr="00DE0E0C" w:rsidRDefault="003336CD" w:rsidP="008E16DB">
      <w:pPr>
        <w:tabs>
          <w:tab w:val="left" w:pos="567"/>
        </w:tabs>
        <w:spacing w:before="120" w:after="120"/>
        <w:jc w:val="center"/>
        <w:rPr>
          <w:rFonts w:ascii="Times New Roman" w:hAnsi="Times New Roman"/>
          <w:sz w:val="26"/>
          <w:szCs w:val="26"/>
          <w:lang w:val="pt-BR"/>
        </w:rPr>
      </w:pPr>
      <w:r w:rsidRPr="00DE0E0C">
        <w:rPr>
          <w:rFonts w:ascii="Times New Roman" w:hAnsi="Times New Roman"/>
          <w:b/>
          <w:i/>
          <w:sz w:val="26"/>
          <w:szCs w:val="26"/>
          <w:lang w:val="pt-BR"/>
        </w:rPr>
        <w:t>Bảng 2.</w:t>
      </w:r>
      <w:r w:rsidRPr="00DE0E0C">
        <w:rPr>
          <w:rFonts w:ascii="Times New Roman" w:hAnsi="Times New Roman"/>
          <w:sz w:val="26"/>
          <w:szCs w:val="26"/>
          <w:lang w:val="pt-BR"/>
        </w:rPr>
        <w:t xml:space="preserve"> </w:t>
      </w:r>
      <w:r w:rsidRPr="00DE0E0C">
        <w:rPr>
          <w:rFonts w:ascii="Times New Roman" w:hAnsi="Times New Roman"/>
          <w:i/>
          <w:sz w:val="26"/>
          <w:szCs w:val="26"/>
          <w:lang w:val="pt-BR"/>
        </w:rPr>
        <w:t>Thống kê số lượt học viên tham dự các khóa đào tạo ATBX do V</w:t>
      </w:r>
      <w:r>
        <w:rPr>
          <w:rFonts w:ascii="Times New Roman" w:hAnsi="Times New Roman"/>
          <w:i/>
          <w:sz w:val="26"/>
          <w:szCs w:val="26"/>
          <w:lang w:val="pt-BR"/>
        </w:rPr>
        <w:t xml:space="preserve">iện </w:t>
      </w:r>
      <w:r w:rsidRPr="00DE0E0C">
        <w:rPr>
          <w:rFonts w:ascii="Times New Roman" w:hAnsi="Times New Roman"/>
          <w:i/>
          <w:sz w:val="26"/>
          <w:szCs w:val="26"/>
          <w:lang w:val="pt-BR"/>
        </w:rPr>
        <w:t xml:space="preserve">NCHN tổ chức sau khi áp dụng </w:t>
      </w:r>
      <w:r>
        <w:rPr>
          <w:rFonts w:ascii="Times New Roman" w:hAnsi="Times New Roman"/>
          <w:i/>
          <w:sz w:val="26"/>
          <w:szCs w:val="26"/>
          <w:lang w:val="pt-BR"/>
        </w:rPr>
        <w:t>TT-</w:t>
      </w:r>
      <w:r w:rsidRPr="00DE0E0C">
        <w:rPr>
          <w:rFonts w:ascii="Times New Roman" w:hAnsi="Times New Roman"/>
          <w:i/>
          <w:iCs/>
          <w:color w:val="000000"/>
          <w:spacing w:val="1"/>
          <w:sz w:val="26"/>
          <w:szCs w:val="26"/>
          <w:lang w:val="pt-BR"/>
        </w:rPr>
        <w:t>34 [5].</w:t>
      </w:r>
    </w:p>
    <w:tbl>
      <w:tblPr>
        <w:tblStyle w:val="TableGrid"/>
        <w:tblW w:w="0" w:type="auto"/>
        <w:tblLook w:val="04A0" w:firstRow="1" w:lastRow="0" w:firstColumn="1" w:lastColumn="0" w:noHBand="0" w:noVBand="1"/>
      </w:tblPr>
      <w:tblGrid>
        <w:gridCol w:w="619"/>
        <w:gridCol w:w="572"/>
        <w:gridCol w:w="589"/>
        <w:gridCol w:w="524"/>
        <w:gridCol w:w="524"/>
        <w:gridCol w:w="556"/>
        <w:gridCol w:w="445"/>
        <w:gridCol w:w="491"/>
        <w:gridCol w:w="524"/>
        <w:gridCol w:w="589"/>
        <w:gridCol w:w="541"/>
        <w:gridCol w:w="573"/>
        <w:gridCol w:w="573"/>
        <w:gridCol w:w="606"/>
        <w:gridCol w:w="545"/>
        <w:gridCol w:w="573"/>
      </w:tblGrid>
      <w:tr w:rsidR="003336CD" w:rsidRPr="00D250C6" w:rsidTr="006C41FF">
        <w:trPr>
          <w:trHeight w:val="300"/>
        </w:trPr>
        <w:tc>
          <w:tcPr>
            <w:tcW w:w="619"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
                <w:bCs/>
                <w:sz w:val="22"/>
                <w:szCs w:val="22"/>
              </w:rPr>
            </w:pPr>
            <w:proofErr w:type="spellStart"/>
            <w:r w:rsidRPr="005D715C">
              <w:rPr>
                <w:rFonts w:ascii="Times New Roman" w:hAnsi="Times New Roman"/>
                <w:b/>
                <w:bCs/>
                <w:sz w:val="22"/>
                <w:szCs w:val="22"/>
              </w:rPr>
              <w:t>Năm</w:t>
            </w:r>
            <w:proofErr w:type="spellEnd"/>
          </w:p>
        </w:tc>
        <w:tc>
          <w:tcPr>
            <w:tcW w:w="573"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
                <w:bCs/>
                <w:sz w:val="22"/>
                <w:szCs w:val="22"/>
              </w:rPr>
            </w:pPr>
            <w:proofErr w:type="spellStart"/>
            <w:r w:rsidRPr="005D715C">
              <w:rPr>
                <w:rFonts w:ascii="Times New Roman" w:hAnsi="Times New Roman"/>
                <w:b/>
                <w:bCs/>
                <w:sz w:val="22"/>
                <w:szCs w:val="22"/>
              </w:rPr>
              <w:t>Tổng</w:t>
            </w:r>
            <w:proofErr w:type="spellEnd"/>
          </w:p>
        </w:tc>
        <w:tc>
          <w:tcPr>
            <w:tcW w:w="590"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
                <w:bCs/>
                <w:sz w:val="20"/>
                <w:szCs w:val="22"/>
              </w:rPr>
            </w:pPr>
            <w:r w:rsidRPr="005D715C">
              <w:rPr>
                <w:rFonts w:ascii="Times New Roman" w:hAnsi="Times New Roman"/>
                <w:b/>
                <w:bCs/>
                <w:sz w:val="20"/>
                <w:szCs w:val="22"/>
              </w:rPr>
              <w:t>ND1</w:t>
            </w:r>
          </w:p>
        </w:tc>
        <w:tc>
          <w:tcPr>
            <w:tcW w:w="52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
                <w:bCs/>
                <w:sz w:val="20"/>
                <w:szCs w:val="22"/>
              </w:rPr>
            </w:pPr>
            <w:r w:rsidRPr="005D715C">
              <w:rPr>
                <w:rFonts w:ascii="Times New Roman" w:hAnsi="Times New Roman"/>
                <w:b/>
                <w:bCs/>
                <w:sz w:val="20"/>
                <w:szCs w:val="22"/>
              </w:rPr>
              <w:t>ND2</w:t>
            </w:r>
          </w:p>
        </w:tc>
        <w:tc>
          <w:tcPr>
            <w:tcW w:w="52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
                <w:bCs/>
                <w:sz w:val="20"/>
                <w:szCs w:val="22"/>
              </w:rPr>
            </w:pPr>
            <w:r w:rsidRPr="005D715C">
              <w:rPr>
                <w:rFonts w:ascii="Times New Roman" w:hAnsi="Times New Roman"/>
                <w:b/>
                <w:bCs/>
                <w:sz w:val="20"/>
                <w:szCs w:val="22"/>
              </w:rPr>
              <w:t>ND3</w:t>
            </w:r>
          </w:p>
        </w:tc>
        <w:tc>
          <w:tcPr>
            <w:tcW w:w="557"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
                <w:bCs/>
                <w:sz w:val="20"/>
                <w:szCs w:val="22"/>
              </w:rPr>
            </w:pPr>
            <w:r w:rsidRPr="005D715C">
              <w:rPr>
                <w:rFonts w:ascii="Times New Roman" w:hAnsi="Times New Roman"/>
                <w:b/>
                <w:bCs/>
                <w:sz w:val="20"/>
                <w:szCs w:val="22"/>
              </w:rPr>
              <w:t>ND4</w:t>
            </w:r>
          </w:p>
        </w:tc>
        <w:tc>
          <w:tcPr>
            <w:tcW w:w="441"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
                <w:bCs/>
                <w:sz w:val="20"/>
                <w:szCs w:val="22"/>
              </w:rPr>
            </w:pPr>
            <w:r w:rsidRPr="005D715C">
              <w:rPr>
                <w:rFonts w:ascii="Times New Roman" w:hAnsi="Times New Roman"/>
                <w:b/>
                <w:bCs/>
                <w:sz w:val="20"/>
                <w:szCs w:val="22"/>
              </w:rPr>
              <w:t>ND5</w:t>
            </w:r>
          </w:p>
        </w:tc>
        <w:tc>
          <w:tcPr>
            <w:tcW w:w="491"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
                <w:bCs/>
                <w:sz w:val="20"/>
                <w:szCs w:val="22"/>
              </w:rPr>
            </w:pPr>
            <w:r w:rsidRPr="005D715C">
              <w:rPr>
                <w:rFonts w:ascii="Times New Roman" w:hAnsi="Times New Roman"/>
                <w:b/>
                <w:bCs/>
                <w:sz w:val="20"/>
                <w:szCs w:val="22"/>
              </w:rPr>
              <w:t>ND6</w:t>
            </w:r>
          </w:p>
        </w:tc>
        <w:tc>
          <w:tcPr>
            <w:tcW w:w="52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
                <w:bCs/>
                <w:sz w:val="20"/>
                <w:szCs w:val="22"/>
              </w:rPr>
            </w:pPr>
            <w:r w:rsidRPr="005D715C">
              <w:rPr>
                <w:rFonts w:ascii="Times New Roman" w:hAnsi="Times New Roman"/>
                <w:b/>
                <w:bCs/>
                <w:sz w:val="20"/>
                <w:szCs w:val="22"/>
              </w:rPr>
              <w:t>ND7</w:t>
            </w:r>
          </w:p>
        </w:tc>
        <w:tc>
          <w:tcPr>
            <w:tcW w:w="590"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
                <w:bCs/>
                <w:sz w:val="20"/>
                <w:szCs w:val="22"/>
              </w:rPr>
            </w:pPr>
            <w:r w:rsidRPr="005D715C">
              <w:rPr>
                <w:rFonts w:ascii="Times New Roman" w:hAnsi="Times New Roman"/>
                <w:b/>
                <w:bCs/>
                <w:sz w:val="20"/>
                <w:szCs w:val="22"/>
              </w:rPr>
              <w:t>ND8</w:t>
            </w:r>
          </w:p>
        </w:tc>
        <w:tc>
          <w:tcPr>
            <w:tcW w:w="541"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
                <w:bCs/>
                <w:sz w:val="20"/>
                <w:szCs w:val="22"/>
              </w:rPr>
            </w:pPr>
            <w:r w:rsidRPr="005D715C">
              <w:rPr>
                <w:rFonts w:ascii="Times New Roman" w:hAnsi="Times New Roman"/>
                <w:b/>
                <w:bCs/>
                <w:sz w:val="20"/>
                <w:szCs w:val="22"/>
              </w:rPr>
              <w:t>ND9</w:t>
            </w:r>
          </w:p>
        </w:tc>
        <w:tc>
          <w:tcPr>
            <w:tcW w:w="57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
                <w:bCs/>
                <w:sz w:val="20"/>
                <w:szCs w:val="22"/>
              </w:rPr>
            </w:pPr>
            <w:r w:rsidRPr="005D715C">
              <w:rPr>
                <w:rFonts w:ascii="Times New Roman" w:hAnsi="Times New Roman"/>
                <w:b/>
                <w:bCs/>
                <w:sz w:val="20"/>
                <w:szCs w:val="22"/>
              </w:rPr>
              <w:t>ND10</w:t>
            </w:r>
          </w:p>
        </w:tc>
        <w:tc>
          <w:tcPr>
            <w:tcW w:w="57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
                <w:bCs/>
                <w:sz w:val="20"/>
                <w:szCs w:val="22"/>
              </w:rPr>
            </w:pPr>
            <w:r w:rsidRPr="005D715C">
              <w:rPr>
                <w:rFonts w:ascii="Times New Roman" w:hAnsi="Times New Roman"/>
                <w:b/>
                <w:bCs/>
                <w:sz w:val="20"/>
                <w:szCs w:val="22"/>
              </w:rPr>
              <w:t>ND11</w:t>
            </w:r>
          </w:p>
        </w:tc>
        <w:tc>
          <w:tcPr>
            <w:tcW w:w="607"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
                <w:bCs/>
                <w:sz w:val="20"/>
                <w:szCs w:val="22"/>
              </w:rPr>
            </w:pPr>
            <w:r w:rsidRPr="005D715C">
              <w:rPr>
                <w:rFonts w:ascii="Times New Roman" w:hAnsi="Times New Roman"/>
                <w:b/>
                <w:bCs/>
                <w:sz w:val="20"/>
                <w:szCs w:val="22"/>
              </w:rPr>
              <w:t>ND12</w:t>
            </w:r>
          </w:p>
        </w:tc>
        <w:tc>
          <w:tcPr>
            <w:tcW w:w="541"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
                <w:bCs/>
                <w:sz w:val="20"/>
                <w:szCs w:val="22"/>
              </w:rPr>
            </w:pPr>
            <w:r w:rsidRPr="005D715C">
              <w:rPr>
                <w:rFonts w:ascii="Times New Roman" w:hAnsi="Times New Roman"/>
                <w:b/>
                <w:bCs/>
                <w:sz w:val="20"/>
                <w:szCs w:val="22"/>
              </w:rPr>
              <w:t>ND13</w:t>
            </w:r>
          </w:p>
        </w:tc>
        <w:tc>
          <w:tcPr>
            <w:tcW w:w="57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
                <w:bCs/>
                <w:sz w:val="20"/>
                <w:szCs w:val="22"/>
              </w:rPr>
            </w:pPr>
            <w:r w:rsidRPr="005D715C">
              <w:rPr>
                <w:rFonts w:ascii="Times New Roman" w:hAnsi="Times New Roman"/>
                <w:b/>
                <w:bCs/>
                <w:sz w:val="20"/>
                <w:szCs w:val="22"/>
              </w:rPr>
              <w:t>ND14</w:t>
            </w:r>
          </w:p>
        </w:tc>
      </w:tr>
      <w:tr w:rsidR="003336CD" w:rsidRPr="00D250C6" w:rsidTr="006C41FF">
        <w:trPr>
          <w:trHeight w:val="300"/>
        </w:trPr>
        <w:tc>
          <w:tcPr>
            <w:tcW w:w="619"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Cs/>
                <w:sz w:val="22"/>
                <w:szCs w:val="22"/>
              </w:rPr>
            </w:pPr>
            <w:r w:rsidRPr="005D715C">
              <w:rPr>
                <w:rFonts w:ascii="Times New Roman" w:hAnsi="Times New Roman"/>
                <w:bCs/>
                <w:sz w:val="22"/>
                <w:szCs w:val="22"/>
              </w:rPr>
              <w:t>2015</w:t>
            </w:r>
          </w:p>
        </w:tc>
        <w:tc>
          <w:tcPr>
            <w:tcW w:w="573"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1108</w:t>
            </w:r>
          </w:p>
        </w:tc>
        <w:tc>
          <w:tcPr>
            <w:tcW w:w="590"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416</w:t>
            </w:r>
          </w:p>
        </w:tc>
        <w:tc>
          <w:tcPr>
            <w:tcW w:w="52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2</w:t>
            </w:r>
          </w:p>
        </w:tc>
        <w:tc>
          <w:tcPr>
            <w:tcW w:w="52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19</w:t>
            </w:r>
          </w:p>
        </w:tc>
        <w:tc>
          <w:tcPr>
            <w:tcW w:w="557"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3</w:t>
            </w:r>
          </w:p>
        </w:tc>
        <w:tc>
          <w:tcPr>
            <w:tcW w:w="441"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44</w:t>
            </w:r>
          </w:p>
        </w:tc>
        <w:tc>
          <w:tcPr>
            <w:tcW w:w="491"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0</w:t>
            </w:r>
          </w:p>
        </w:tc>
        <w:tc>
          <w:tcPr>
            <w:tcW w:w="52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1</w:t>
            </w:r>
          </w:p>
        </w:tc>
        <w:tc>
          <w:tcPr>
            <w:tcW w:w="590"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124</w:t>
            </w:r>
          </w:p>
        </w:tc>
        <w:tc>
          <w:tcPr>
            <w:tcW w:w="541"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211</w:t>
            </w:r>
          </w:p>
        </w:tc>
        <w:tc>
          <w:tcPr>
            <w:tcW w:w="57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3</w:t>
            </w:r>
          </w:p>
        </w:tc>
        <w:tc>
          <w:tcPr>
            <w:tcW w:w="57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0</w:t>
            </w:r>
          </w:p>
        </w:tc>
        <w:tc>
          <w:tcPr>
            <w:tcW w:w="607"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47</w:t>
            </w:r>
          </w:p>
        </w:tc>
        <w:tc>
          <w:tcPr>
            <w:tcW w:w="541"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187</w:t>
            </w:r>
          </w:p>
        </w:tc>
        <w:tc>
          <w:tcPr>
            <w:tcW w:w="57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51</w:t>
            </w:r>
          </w:p>
        </w:tc>
      </w:tr>
      <w:tr w:rsidR="003336CD" w:rsidRPr="00D250C6" w:rsidTr="006C41FF">
        <w:trPr>
          <w:trHeight w:val="300"/>
        </w:trPr>
        <w:tc>
          <w:tcPr>
            <w:tcW w:w="619"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Cs/>
                <w:sz w:val="22"/>
                <w:szCs w:val="22"/>
              </w:rPr>
            </w:pPr>
            <w:r w:rsidRPr="005D715C">
              <w:rPr>
                <w:rFonts w:ascii="Times New Roman" w:hAnsi="Times New Roman"/>
                <w:bCs/>
                <w:sz w:val="22"/>
                <w:szCs w:val="22"/>
              </w:rPr>
              <w:t>2016</w:t>
            </w:r>
          </w:p>
        </w:tc>
        <w:tc>
          <w:tcPr>
            <w:tcW w:w="573"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1269</w:t>
            </w:r>
          </w:p>
        </w:tc>
        <w:tc>
          <w:tcPr>
            <w:tcW w:w="590"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240</w:t>
            </w:r>
          </w:p>
        </w:tc>
        <w:tc>
          <w:tcPr>
            <w:tcW w:w="52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21</w:t>
            </w:r>
          </w:p>
        </w:tc>
        <w:tc>
          <w:tcPr>
            <w:tcW w:w="52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7</w:t>
            </w:r>
          </w:p>
        </w:tc>
        <w:tc>
          <w:tcPr>
            <w:tcW w:w="557"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5</w:t>
            </w:r>
          </w:p>
        </w:tc>
        <w:tc>
          <w:tcPr>
            <w:tcW w:w="441"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67</w:t>
            </w:r>
          </w:p>
        </w:tc>
        <w:tc>
          <w:tcPr>
            <w:tcW w:w="491"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0</w:t>
            </w:r>
          </w:p>
        </w:tc>
        <w:tc>
          <w:tcPr>
            <w:tcW w:w="52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15</w:t>
            </w:r>
          </w:p>
        </w:tc>
        <w:tc>
          <w:tcPr>
            <w:tcW w:w="590"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30</w:t>
            </w:r>
          </w:p>
        </w:tc>
        <w:tc>
          <w:tcPr>
            <w:tcW w:w="541"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196</w:t>
            </w:r>
          </w:p>
        </w:tc>
        <w:tc>
          <w:tcPr>
            <w:tcW w:w="57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33</w:t>
            </w:r>
          </w:p>
        </w:tc>
        <w:tc>
          <w:tcPr>
            <w:tcW w:w="57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1</w:t>
            </w:r>
          </w:p>
        </w:tc>
        <w:tc>
          <w:tcPr>
            <w:tcW w:w="607"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181</w:t>
            </w:r>
          </w:p>
        </w:tc>
        <w:tc>
          <w:tcPr>
            <w:tcW w:w="541"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149</w:t>
            </w:r>
          </w:p>
        </w:tc>
        <w:tc>
          <w:tcPr>
            <w:tcW w:w="57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162</w:t>
            </w:r>
          </w:p>
        </w:tc>
      </w:tr>
      <w:tr w:rsidR="003336CD" w:rsidRPr="00D250C6" w:rsidTr="006C41FF">
        <w:trPr>
          <w:trHeight w:val="300"/>
        </w:trPr>
        <w:tc>
          <w:tcPr>
            <w:tcW w:w="619"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Cs/>
                <w:sz w:val="22"/>
                <w:szCs w:val="22"/>
              </w:rPr>
            </w:pPr>
            <w:r w:rsidRPr="005D715C">
              <w:rPr>
                <w:rFonts w:ascii="Times New Roman" w:hAnsi="Times New Roman"/>
                <w:bCs/>
                <w:sz w:val="22"/>
                <w:szCs w:val="22"/>
              </w:rPr>
              <w:t>2017</w:t>
            </w:r>
          </w:p>
        </w:tc>
        <w:tc>
          <w:tcPr>
            <w:tcW w:w="573"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1311</w:t>
            </w:r>
          </w:p>
        </w:tc>
        <w:tc>
          <w:tcPr>
            <w:tcW w:w="590"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536</w:t>
            </w:r>
          </w:p>
        </w:tc>
        <w:tc>
          <w:tcPr>
            <w:tcW w:w="52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27</w:t>
            </w:r>
          </w:p>
        </w:tc>
        <w:tc>
          <w:tcPr>
            <w:tcW w:w="52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16</w:t>
            </w:r>
          </w:p>
        </w:tc>
        <w:tc>
          <w:tcPr>
            <w:tcW w:w="557"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4</w:t>
            </w:r>
          </w:p>
        </w:tc>
        <w:tc>
          <w:tcPr>
            <w:tcW w:w="441"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28</w:t>
            </w:r>
          </w:p>
        </w:tc>
        <w:tc>
          <w:tcPr>
            <w:tcW w:w="491"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0</w:t>
            </w:r>
          </w:p>
        </w:tc>
        <w:tc>
          <w:tcPr>
            <w:tcW w:w="52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0</w:t>
            </w:r>
          </w:p>
        </w:tc>
        <w:tc>
          <w:tcPr>
            <w:tcW w:w="590"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33</w:t>
            </w:r>
          </w:p>
        </w:tc>
        <w:tc>
          <w:tcPr>
            <w:tcW w:w="541"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208</w:t>
            </w:r>
          </w:p>
        </w:tc>
        <w:tc>
          <w:tcPr>
            <w:tcW w:w="57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2</w:t>
            </w:r>
          </w:p>
        </w:tc>
        <w:tc>
          <w:tcPr>
            <w:tcW w:w="57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2</w:t>
            </w:r>
          </w:p>
        </w:tc>
        <w:tc>
          <w:tcPr>
            <w:tcW w:w="607"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0</w:t>
            </w:r>
          </w:p>
        </w:tc>
        <w:tc>
          <w:tcPr>
            <w:tcW w:w="541"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67</w:t>
            </w:r>
          </w:p>
        </w:tc>
        <w:tc>
          <w:tcPr>
            <w:tcW w:w="57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144</w:t>
            </w:r>
          </w:p>
        </w:tc>
      </w:tr>
      <w:tr w:rsidR="003336CD" w:rsidRPr="00D250C6" w:rsidTr="006C41FF">
        <w:trPr>
          <w:trHeight w:val="300"/>
        </w:trPr>
        <w:tc>
          <w:tcPr>
            <w:tcW w:w="619"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bCs/>
                <w:sz w:val="22"/>
                <w:szCs w:val="22"/>
              </w:rPr>
            </w:pPr>
            <w:r w:rsidRPr="005D715C">
              <w:rPr>
                <w:rFonts w:ascii="Times New Roman" w:hAnsi="Times New Roman"/>
                <w:bCs/>
                <w:sz w:val="22"/>
                <w:szCs w:val="22"/>
              </w:rPr>
              <w:t>2018</w:t>
            </w:r>
          </w:p>
        </w:tc>
        <w:tc>
          <w:tcPr>
            <w:tcW w:w="573"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230</w:t>
            </w:r>
          </w:p>
        </w:tc>
        <w:tc>
          <w:tcPr>
            <w:tcW w:w="590"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86</w:t>
            </w:r>
          </w:p>
        </w:tc>
        <w:tc>
          <w:tcPr>
            <w:tcW w:w="52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Pr>
                <w:rFonts w:ascii="Times New Roman" w:hAnsi="Times New Roman"/>
                <w:sz w:val="22"/>
                <w:szCs w:val="22"/>
              </w:rPr>
              <w:t>-</w:t>
            </w:r>
          </w:p>
        </w:tc>
        <w:tc>
          <w:tcPr>
            <w:tcW w:w="52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Pr>
                <w:rFonts w:ascii="Times New Roman" w:hAnsi="Times New Roman"/>
                <w:sz w:val="22"/>
                <w:szCs w:val="22"/>
              </w:rPr>
              <w:t>-</w:t>
            </w:r>
          </w:p>
        </w:tc>
        <w:tc>
          <w:tcPr>
            <w:tcW w:w="557"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Pr>
                <w:rFonts w:ascii="Times New Roman" w:hAnsi="Times New Roman"/>
                <w:sz w:val="22"/>
                <w:szCs w:val="22"/>
              </w:rPr>
              <w:t>-</w:t>
            </w:r>
          </w:p>
        </w:tc>
        <w:tc>
          <w:tcPr>
            <w:tcW w:w="441"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Pr>
                <w:rFonts w:ascii="Times New Roman" w:hAnsi="Times New Roman"/>
                <w:sz w:val="22"/>
                <w:szCs w:val="22"/>
              </w:rPr>
              <w:t>-</w:t>
            </w:r>
          </w:p>
        </w:tc>
        <w:tc>
          <w:tcPr>
            <w:tcW w:w="491"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Pr>
                <w:rFonts w:ascii="Times New Roman" w:hAnsi="Times New Roman"/>
                <w:sz w:val="22"/>
                <w:szCs w:val="22"/>
              </w:rPr>
              <w:t>-</w:t>
            </w:r>
          </w:p>
        </w:tc>
        <w:tc>
          <w:tcPr>
            <w:tcW w:w="52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Pr>
                <w:rFonts w:ascii="Times New Roman" w:hAnsi="Times New Roman"/>
                <w:sz w:val="22"/>
                <w:szCs w:val="22"/>
              </w:rPr>
              <w:t>-</w:t>
            </w:r>
          </w:p>
        </w:tc>
        <w:tc>
          <w:tcPr>
            <w:tcW w:w="590"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22</w:t>
            </w:r>
          </w:p>
        </w:tc>
        <w:tc>
          <w:tcPr>
            <w:tcW w:w="541"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56</w:t>
            </w:r>
          </w:p>
        </w:tc>
        <w:tc>
          <w:tcPr>
            <w:tcW w:w="57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Pr>
                <w:rFonts w:ascii="Times New Roman" w:hAnsi="Times New Roman"/>
                <w:sz w:val="22"/>
                <w:szCs w:val="22"/>
              </w:rPr>
              <w:t>-</w:t>
            </w:r>
          </w:p>
        </w:tc>
        <w:tc>
          <w:tcPr>
            <w:tcW w:w="57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Pr>
                <w:rFonts w:ascii="Times New Roman" w:hAnsi="Times New Roman"/>
                <w:sz w:val="22"/>
                <w:szCs w:val="22"/>
              </w:rPr>
              <w:t>-</w:t>
            </w:r>
          </w:p>
        </w:tc>
        <w:tc>
          <w:tcPr>
            <w:tcW w:w="607"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Pr>
                <w:rFonts w:ascii="Times New Roman" w:hAnsi="Times New Roman"/>
                <w:sz w:val="22"/>
                <w:szCs w:val="22"/>
              </w:rPr>
              <w:t>-</w:t>
            </w:r>
          </w:p>
        </w:tc>
        <w:tc>
          <w:tcPr>
            <w:tcW w:w="541"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33</w:t>
            </w:r>
          </w:p>
        </w:tc>
        <w:tc>
          <w:tcPr>
            <w:tcW w:w="574" w:type="dxa"/>
            <w:noWrap/>
            <w:tcMar>
              <w:left w:w="28" w:type="dxa"/>
              <w:right w:w="28" w:type="dxa"/>
            </w:tcMar>
            <w:hideMark/>
          </w:tcPr>
          <w:p w:rsidR="003336CD" w:rsidRPr="005D715C" w:rsidRDefault="003336CD" w:rsidP="008E16DB">
            <w:pPr>
              <w:tabs>
                <w:tab w:val="left" w:pos="567"/>
              </w:tabs>
              <w:spacing w:before="120" w:after="120"/>
              <w:jc w:val="center"/>
              <w:rPr>
                <w:rFonts w:ascii="Times New Roman" w:hAnsi="Times New Roman"/>
                <w:sz w:val="22"/>
                <w:szCs w:val="22"/>
              </w:rPr>
            </w:pPr>
            <w:r w:rsidRPr="005D715C">
              <w:rPr>
                <w:rFonts w:ascii="Times New Roman" w:hAnsi="Times New Roman"/>
                <w:sz w:val="22"/>
                <w:szCs w:val="22"/>
              </w:rPr>
              <w:t>33</w:t>
            </w:r>
          </w:p>
        </w:tc>
      </w:tr>
      <w:tr w:rsidR="003336CD" w:rsidRPr="00D250C6" w:rsidTr="006C41FF">
        <w:trPr>
          <w:trHeight w:val="300"/>
        </w:trPr>
        <w:tc>
          <w:tcPr>
            <w:tcW w:w="619" w:type="dxa"/>
            <w:noWrap/>
            <w:tcMar>
              <w:left w:w="28" w:type="dxa"/>
              <w:right w:w="28" w:type="dxa"/>
            </w:tcMar>
            <w:vAlign w:val="center"/>
            <w:hideMark/>
          </w:tcPr>
          <w:p w:rsidR="003336CD" w:rsidRPr="005D715C" w:rsidRDefault="003336CD" w:rsidP="008E16DB">
            <w:pPr>
              <w:tabs>
                <w:tab w:val="left" w:pos="567"/>
              </w:tabs>
              <w:spacing w:before="120" w:after="120"/>
              <w:jc w:val="center"/>
              <w:rPr>
                <w:rFonts w:ascii="Times New Roman" w:hAnsi="Times New Roman"/>
                <w:b/>
                <w:bCs/>
                <w:sz w:val="22"/>
                <w:szCs w:val="22"/>
              </w:rPr>
            </w:pPr>
            <w:proofErr w:type="spellStart"/>
            <w:r w:rsidRPr="005D715C">
              <w:rPr>
                <w:rFonts w:ascii="Times New Roman" w:hAnsi="Times New Roman"/>
                <w:b/>
                <w:bCs/>
                <w:sz w:val="22"/>
                <w:szCs w:val="22"/>
              </w:rPr>
              <w:t>Tổng</w:t>
            </w:r>
            <w:proofErr w:type="spellEnd"/>
            <w:r w:rsidRPr="005D715C">
              <w:rPr>
                <w:rFonts w:ascii="Times New Roman" w:hAnsi="Times New Roman"/>
                <w:b/>
                <w:bCs/>
                <w:sz w:val="22"/>
                <w:szCs w:val="22"/>
              </w:rPr>
              <w:t xml:space="preserve"> </w:t>
            </w:r>
            <w:proofErr w:type="spellStart"/>
            <w:r w:rsidRPr="005D715C">
              <w:rPr>
                <w:rFonts w:ascii="Times New Roman" w:hAnsi="Times New Roman"/>
                <w:b/>
                <w:bCs/>
                <w:sz w:val="22"/>
                <w:szCs w:val="22"/>
              </w:rPr>
              <w:t>số</w:t>
            </w:r>
            <w:proofErr w:type="spellEnd"/>
          </w:p>
        </w:tc>
        <w:tc>
          <w:tcPr>
            <w:tcW w:w="573" w:type="dxa"/>
            <w:noWrap/>
            <w:tcMar>
              <w:left w:w="28" w:type="dxa"/>
              <w:right w:w="28" w:type="dxa"/>
            </w:tcMar>
            <w:vAlign w:val="center"/>
            <w:hideMark/>
          </w:tcPr>
          <w:p w:rsidR="003336CD" w:rsidRPr="005D715C" w:rsidRDefault="003336CD" w:rsidP="008E16DB">
            <w:pPr>
              <w:tabs>
                <w:tab w:val="left" w:pos="567"/>
              </w:tabs>
              <w:spacing w:before="120" w:after="120"/>
              <w:jc w:val="center"/>
              <w:rPr>
                <w:rFonts w:ascii="Times New Roman" w:hAnsi="Times New Roman"/>
                <w:b/>
                <w:sz w:val="22"/>
                <w:szCs w:val="22"/>
              </w:rPr>
            </w:pPr>
            <w:r w:rsidRPr="005D715C">
              <w:rPr>
                <w:rFonts w:ascii="Times New Roman" w:hAnsi="Times New Roman"/>
                <w:b/>
                <w:sz w:val="22"/>
                <w:szCs w:val="22"/>
              </w:rPr>
              <w:t>3918</w:t>
            </w:r>
          </w:p>
        </w:tc>
        <w:tc>
          <w:tcPr>
            <w:tcW w:w="590" w:type="dxa"/>
            <w:noWrap/>
            <w:tcMar>
              <w:left w:w="28" w:type="dxa"/>
              <w:right w:w="28" w:type="dxa"/>
            </w:tcMar>
            <w:vAlign w:val="center"/>
            <w:hideMark/>
          </w:tcPr>
          <w:p w:rsidR="003336CD" w:rsidRPr="005D715C" w:rsidRDefault="003336CD" w:rsidP="008E16DB">
            <w:pPr>
              <w:tabs>
                <w:tab w:val="left" w:pos="567"/>
              </w:tabs>
              <w:spacing w:before="120" w:after="120"/>
              <w:jc w:val="center"/>
              <w:rPr>
                <w:rFonts w:ascii="Times New Roman" w:hAnsi="Times New Roman"/>
                <w:b/>
                <w:sz w:val="22"/>
                <w:szCs w:val="22"/>
              </w:rPr>
            </w:pPr>
            <w:r w:rsidRPr="005D715C">
              <w:rPr>
                <w:rFonts w:ascii="Times New Roman" w:hAnsi="Times New Roman"/>
                <w:b/>
                <w:sz w:val="22"/>
                <w:szCs w:val="22"/>
              </w:rPr>
              <w:t>1278</w:t>
            </w:r>
          </w:p>
        </w:tc>
        <w:tc>
          <w:tcPr>
            <w:tcW w:w="524" w:type="dxa"/>
            <w:noWrap/>
            <w:tcMar>
              <w:left w:w="28" w:type="dxa"/>
              <w:right w:w="28" w:type="dxa"/>
            </w:tcMar>
            <w:vAlign w:val="center"/>
            <w:hideMark/>
          </w:tcPr>
          <w:p w:rsidR="003336CD" w:rsidRPr="005D715C" w:rsidRDefault="003336CD" w:rsidP="008E16DB">
            <w:pPr>
              <w:tabs>
                <w:tab w:val="left" w:pos="567"/>
              </w:tabs>
              <w:spacing w:before="120" w:after="120"/>
              <w:jc w:val="center"/>
              <w:rPr>
                <w:rFonts w:ascii="Times New Roman" w:hAnsi="Times New Roman"/>
                <w:b/>
                <w:sz w:val="22"/>
                <w:szCs w:val="22"/>
              </w:rPr>
            </w:pPr>
            <w:r w:rsidRPr="005D715C">
              <w:rPr>
                <w:rFonts w:ascii="Times New Roman" w:hAnsi="Times New Roman"/>
                <w:b/>
                <w:sz w:val="22"/>
                <w:szCs w:val="22"/>
              </w:rPr>
              <w:t>50</w:t>
            </w:r>
          </w:p>
        </w:tc>
        <w:tc>
          <w:tcPr>
            <w:tcW w:w="524" w:type="dxa"/>
            <w:noWrap/>
            <w:tcMar>
              <w:left w:w="28" w:type="dxa"/>
              <w:right w:w="28" w:type="dxa"/>
            </w:tcMar>
            <w:vAlign w:val="center"/>
            <w:hideMark/>
          </w:tcPr>
          <w:p w:rsidR="003336CD" w:rsidRPr="005D715C" w:rsidRDefault="003336CD" w:rsidP="008E16DB">
            <w:pPr>
              <w:tabs>
                <w:tab w:val="left" w:pos="567"/>
              </w:tabs>
              <w:spacing w:before="120" w:after="120"/>
              <w:jc w:val="center"/>
              <w:rPr>
                <w:rFonts w:ascii="Times New Roman" w:hAnsi="Times New Roman"/>
                <w:b/>
                <w:sz w:val="22"/>
                <w:szCs w:val="22"/>
              </w:rPr>
            </w:pPr>
            <w:r w:rsidRPr="005D715C">
              <w:rPr>
                <w:rFonts w:ascii="Times New Roman" w:hAnsi="Times New Roman"/>
                <w:b/>
                <w:sz w:val="22"/>
                <w:szCs w:val="22"/>
              </w:rPr>
              <w:t>42</w:t>
            </w:r>
          </w:p>
        </w:tc>
        <w:tc>
          <w:tcPr>
            <w:tcW w:w="557" w:type="dxa"/>
            <w:noWrap/>
            <w:tcMar>
              <w:left w:w="28" w:type="dxa"/>
              <w:right w:w="28" w:type="dxa"/>
            </w:tcMar>
            <w:vAlign w:val="center"/>
            <w:hideMark/>
          </w:tcPr>
          <w:p w:rsidR="003336CD" w:rsidRPr="005D715C" w:rsidRDefault="003336CD" w:rsidP="008E16DB">
            <w:pPr>
              <w:tabs>
                <w:tab w:val="left" w:pos="567"/>
              </w:tabs>
              <w:spacing w:before="120" w:after="120"/>
              <w:jc w:val="center"/>
              <w:rPr>
                <w:rFonts w:ascii="Times New Roman" w:hAnsi="Times New Roman"/>
                <w:b/>
                <w:sz w:val="22"/>
                <w:szCs w:val="22"/>
              </w:rPr>
            </w:pPr>
            <w:r w:rsidRPr="005D715C">
              <w:rPr>
                <w:rFonts w:ascii="Times New Roman" w:hAnsi="Times New Roman"/>
                <w:b/>
                <w:sz w:val="22"/>
                <w:szCs w:val="22"/>
              </w:rPr>
              <w:t>12</w:t>
            </w:r>
          </w:p>
        </w:tc>
        <w:tc>
          <w:tcPr>
            <w:tcW w:w="441" w:type="dxa"/>
            <w:noWrap/>
            <w:tcMar>
              <w:left w:w="28" w:type="dxa"/>
              <w:right w:w="28" w:type="dxa"/>
            </w:tcMar>
            <w:vAlign w:val="center"/>
            <w:hideMark/>
          </w:tcPr>
          <w:p w:rsidR="003336CD" w:rsidRPr="005D715C" w:rsidRDefault="003336CD" w:rsidP="008E16DB">
            <w:pPr>
              <w:tabs>
                <w:tab w:val="left" w:pos="567"/>
              </w:tabs>
              <w:spacing w:before="120" w:after="120"/>
              <w:jc w:val="center"/>
              <w:rPr>
                <w:rFonts w:ascii="Times New Roman" w:hAnsi="Times New Roman"/>
                <w:b/>
                <w:sz w:val="22"/>
                <w:szCs w:val="22"/>
              </w:rPr>
            </w:pPr>
            <w:r w:rsidRPr="005D715C">
              <w:rPr>
                <w:rFonts w:ascii="Times New Roman" w:hAnsi="Times New Roman"/>
                <w:b/>
                <w:sz w:val="22"/>
                <w:szCs w:val="22"/>
              </w:rPr>
              <w:t>139</w:t>
            </w:r>
          </w:p>
        </w:tc>
        <w:tc>
          <w:tcPr>
            <w:tcW w:w="491" w:type="dxa"/>
            <w:noWrap/>
            <w:tcMar>
              <w:left w:w="28" w:type="dxa"/>
              <w:right w:w="28" w:type="dxa"/>
            </w:tcMar>
            <w:vAlign w:val="center"/>
            <w:hideMark/>
          </w:tcPr>
          <w:p w:rsidR="003336CD" w:rsidRPr="005D715C" w:rsidRDefault="003336CD" w:rsidP="008E16DB">
            <w:pPr>
              <w:tabs>
                <w:tab w:val="left" w:pos="567"/>
              </w:tabs>
              <w:spacing w:before="120" w:after="120"/>
              <w:jc w:val="center"/>
              <w:rPr>
                <w:rFonts w:ascii="Times New Roman" w:hAnsi="Times New Roman"/>
                <w:b/>
                <w:sz w:val="22"/>
                <w:szCs w:val="22"/>
              </w:rPr>
            </w:pPr>
            <w:r w:rsidRPr="005D715C">
              <w:rPr>
                <w:rFonts w:ascii="Times New Roman" w:hAnsi="Times New Roman"/>
                <w:b/>
                <w:sz w:val="22"/>
                <w:szCs w:val="22"/>
              </w:rPr>
              <w:t>0</w:t>
            </w:r>
          </w:p>
        </w:tc>
        <w:tc>
          <w:tcPr>
            <w:tcW w:w="524" w:type="dxa"/>
            <w:noWrap/>
            <w:tcMar>
              <w:left w:w="28" w:type="dxa"/>
              <w:right w:w="28" w:type="dxa"/>
            </w:tcMar>
            <w:vAlign w:val="center"/>
            <w:hideMark/>
          </w:tcPr>
          <w:p w:rsidR="003336CD" w:rsidRPr="005D715C" w:rsidRDefault="003336CD" w:rsidP="008E16DB">
            <w:pPr>
              <w:tabs>
                <w:tab w:val="left" w:pos="567"/>
              </w:tabs>
              <w:spacing w:before="120" w:after="120"/>
              <w:jc w:val="center"/>
              <w:rPr>
                <w:rFonts w:ascii="Times New Roman" w:hAnsi="Times New Roman"/>
                <w:b/>
                <w:sz w:val="22"/>
                <w:szCs w:val="22"/>
              </w:rPr>
            </w:pPr>
            <w:r w:rsidRPr="005D715C">
              <w:rPr>
                <w:rFonts w:ascii="Times New Roman" w:hAnsi="Times New Roman"/>
                <w:b/>
                <w:sz w:val="22"/>
                <w:szCs w:val="22"/>
              </w:rPr>
              <w:t>16</w:t>
            </w:r>
          </w:p>
        </w:tc>
        <w:tc>
          <w:tcPr>
            <w:tcW w:w="590" w:type="dxa"/>
            <w:noWrap/>
            <w:tcMar>
              <w:left w:w="28" w:type="dxa"/>
              <w:right w:w="28" w:type="dxa"/>
            </w:tcMar>
            <w:vAlign w:val="center"/>
            <w:hideMark/>
          </w:tcPr>
          <w:p w:rsidR="003336CD" w:rsidRPr="005D715C" w:rsidRDefault="003336CD" w:rsidP="008E16DB">
            <w:pPr>
              <w:tabs>
                <w:tab w:val="left" w:pos="567"/>
              </w:tabs>
              <w:spacing w:before="120" w:after="120"/>
              <w:jc w:val="center"/>
              <w:rPr>
                <w:rFonts w:ascii="Times New Roman" w:hAnsi="Times New Roman"/>
                <w:b/>
                <w:sz w:val="22"/>
                <w:szCs w:val="22"/>
              </w:rPr>
            </w:pPr>
            <w:r w:rsidRPr="005D715C">
              <w:rPr>
                <w:rFonts w:ascii="Times New Roman" w:hAnsi="Times New Roman"/>
                <w:b/>
                <w:sz w:val="22"/>
                <w:szCs w:val="22"/>
              </w:rPr>
              <w:t>209</w:t>
            </w:r>
          </w:p>
        </w:tc>
        <w:tc>
          <w:tcPr>
            <w:tcW w:w="541" w:type="dxa"/>
            <w:noWrap/>
            <w:tcMar>
              <w:left w:w="28" w:type="dxa"/>
              <w:right w:w="28" w:type="dxa"/>
            </w:tcMar>
            <w:vAlign w:val="center"/>
            <w:hideMark/>
          </w:tcPr>
          <w:p w:rsidR="003336CD" w:rsidRPr="005D715C" w:rsidRDefault="003336CD" w:rsidP="008E16DB">
            <w:pPr>
              <w:tabs>
                <w:tab w:val="left" w:pos="567"/>
              </w:tabs>
              <w:spacing w:before="120" w:after="120"/>
              <w:jc w:val="center"/>
              <w:rPr>
                <w:rFonts w:ascii="Times New Roman" w:hAnsi="Times New Roman"/>
                <w:b/>
                <w:sz w:val="22"/>
                <w:szCs w:val="22"/>
              </w:rPr>
            </w:pPr>
            <w:r w:rsidRPr="005D715C">
              <w:rPr>
                <w:rFonts w:ascii="Times New Roman" w:hAnsi="Times New Roman"/>
                <w:b/>
                <w:sz w:val="22"/>
                <w:szCs w:val="22"/>
              </w:rPr>
              <w:t>671</w:t>
            </w:r>
          </w:p>
        </w:tc>
        <w:tc>
          <w:tcPr>
            <w:tcW w:w="574" w:type="dxa"/>
            <w:noWrap/>
            <w:tcMar>
              <w:left w:w="28" w:type="dxa"/>
              <w:right w:w="28" w:type="dxa"/>
            </w:tcMar>
            <w:vAlign w:val="center"/>
            <w:hideMark/>
          </w:tcPr>
          <w:p w:rsidR="003336CD" w:rsidRPr="005D715C" w:rsidRDefault="003336CD" w:rsidP="008E16DB">
            <w:pPr>
              <w:tabs>
                <w:tab w:val="left" w:pos="567"/>
              </w:tabs>
              <w:spacing w:before="120" w:after="120"/>
              <w:jc w:val="center"/>
              <w:rPr>
                <w:rFonts w:ascii="Times New Roman" w:hAnsi="Times New Roman"/>
                <w:b/>
                <w:sz w:val="22"/>
                <w:szCs w:val="22"/>
              </w:rPr>
            </w:pPr>
            <w:r w:rsidRPr="005D715C">
              <w:rPr>
                <w:rFonts w:ascii="Times New Roman" w:hAnsi="Times New Roman"/>
                <w:b/>
                <w:sz w:val="22"/>
                <w:szCs w:val="22"/>
              </w:rPr>
              <w:t>38</w:t>
            </w:r>
          </w:p>
        </w:tc>
        <w:tc>
          <w:tcPr>
            <w:tcW w:w="574" w:type="dxa"/>
            <w:noWrap/>
            <w:tcMar>
              <w:left w:w="28" w:type="dxa"/>
              <w:right w:w="28" w:type="dxa"/>
            </w:tcMar>
            <w:vAlign w:val="center"/>
            <w:hideMark/>
          </w:tcPr>
          <w:p w:rsidR="003336CD" w:rsidRPr="005D715C" w:rsidRDefault="003336CD" w:rsidP="008E16DB">
            <w:pPr>
              <w:tabs>
                <w:tab w:val="left" w:pos="567"/>
              </w:tabs>
              <w:spacing w:before="120" w:after="120"/>
              <w:jc w:val="center"/>
              <w:rPr>
                <w:rFonts w:ascii="Times New Roman" w:hAnsi="Times New Roman"/>
                <w:b/>
                <w:sz w:val="22"/>
                <w:szCs w:val="22"/>
              </w:rPr>
            </w:pPr>
            <w:r w:rsidRPr="005D715C">
              <w:rPr>
                <w:rFonts w:ascii="Times New Roman" w:hAnsi="Times New Roman"/>
                <w:b/>
                <w:sz w:val="22"/>
                <w:szCs w:val="22"/>
              </w:rPr>
              <w:t>3</w:t>
            </w:r>
          </w:p>
        </w:tc>
        <w:tc>
          <w:tcPr>
            <w:tcW w:w="607" w:type="dxa"/>
            <w:noWrap/>
            <w:tcMar>
              <w:left w:w="28" w:type="dxa"/>
              <w:right w:w="28" w:type="dxa"/>
            </w:tcMar>
            <w:vAlign w:val="center"/>
            <w:hideMark/>
          </w:tcPr>
          <w:p w:rsidR="003336CD" w:rsidRPr="005D715C" w:rsidRDefault="003336CD" w:rsidP="008E16DB">
            <w:pPr>
              <w:tabs>
                <w:tab w:val="left" w:pos="567"/>
              </w:tabs>
              <w:spacing w:before="120" w:after="120"/>
              <w:jc w:val="center"/>
              <w:rPr>
                <w:rFonts w:ascii="Times New Roman" w:hAnsi="Times New Roman"/>
                <w:b/>
                <w:sz w:val="22"/>
                <w:szCs w:val="22"/>
              </w:rPr>
            </w:pPr>
            <w:r w:rsidRPr="005D715C">
              <w:rPr>
                <w:rFonts w:ascii="Times New Roman" w:hAnsi="Times New Roman"/>
                <w:b/>
                <w:sz w:val="22"/>
                <w:szCs w:val="22"/>
              </w:rPr>
              <w:t>228</w:t>
            </w:r>
          </w:p>
        </w:tc>
        <w:tc>
          <w:tcPr>
            <w:tcW w:w="541" w:type="dxa"/>
            <w:noWrap/>
            <w:tcMar>
              <w:left w:w="28" w:type="dxa"/>
              <w:right w:w="28" w:type="dxa"/>
            </w:tcMar>
            <w:vAlign w:val="center"/>
            <w:hideMark/>
          </w:tcPr>
          <w:p w:rsidR="003336CD" w:rsidRPr="005D715C" w:rsidRDefault="003336CD" w:rsidP="008E16DB">
            <w:pPr>
              <w:tabs>
                <w:tab w:val="left" w:pos="567"/>
              </w:tabs>
              <w:spacing w:before="120" w:after="120"/>
              <w:jc w:val="center"/>
              <w:rPr>
                <w:rFonts w:ascii="Times New Roman" w:hAnsi="Times New Roman"/>
                <w:b/>
                <w:sz w:val="22"/>
                <w:szCs w:val="22"/>
              </w:rPr>
            </w:pPr>
            <w:r w:rsidRPr="005D715C">
              <w:rPr>
                <w:rFonts w:ascii="Times New Roman" w:hAnsi="Times New Roman"/>
                <w:b/>
                <w:sz w:val="22"/>
                <w:szCs w:val="22"/>
              </w:rPr>
              <w:t>436</w:t>
            </w:r>
          </w:p>
        </w:tc>
        <w:tc>
          <w:tcPr>
            <w:tcW w:w="574" w:type="dxa"/>
            <w:noWrap/>
            <w:tcMar>
              <w:left w:w="28" w:type="dxa"/>
              <w:right w:w="28" w:type="dxa"/>
            </w:tcMar>
            <w:vAlign w:val="center"/>
            <w:hideMark/>
          </w:tcPr>
          <w:p w:rsidR="003336CD" w:rsidRPr="005D715C" w:rsidRDefault="003336CD" w:rsidP="008E16DB">
            <w:pPr>
              <w:tabs>
                <w:tab w:val="left" w:pos="567"/>
              </w:tabs>
              <w:spacing w:before="120" w:after="120"/>
              <w:jc w:val="center"/>
              <w:rPr>
                <w:rFonts w:ascii="Times New Roman" w:hAnsi="Times New Roman"/>
                <w:b/>
                <w:sz w:val="22"/>
                <w:szCs w:val="22"/>
              </w:rPr>
            </w:pPr>
            <w:r w:rsidRPr="005D715C">
              <w:rPr>
                <w:rFonts w:ascii="Times New Roman" w:hAnsi="Times New Roman"/>
                <w:b/>
                <w:sz w:val="22"/>
                <w:szCs w:val="22"/>
              </w:rPr>
              <w:t>390</w:t>
            </w:r>
          </w:p>
        </w:tc>
      </w:tr>
    </w:tbl>
    <w:p w:rsidR="003336CD" w:rsidRPr="002445FA" w:rsidRDefault="003336CD" w:rsidP="008E16DB">
      <w:pPr>
        <w:tabs>
          <w:tab w:val="left" w:pos="567"/>
        </w:tabs>
        <w:spacing w:before="120" w:after="120"/>
        <w:rPr>
          <w:rFonts w:ascii="Times New Roman" w:hAnsi="Times New Roman"/>
          <w:sz w:val="26"/>
          <w:szCs w:val="26"/>
          <w:lang w:val="pt-BR"/>
        </w:rPr>
      </w:pPr>
      <w:r w:rsidRPr="00587FE1">
        <w:rPr>
          <w:rFonts w:ascii="Times New Roman" w:hAnsi="Times New Roman"/>
          <w:b/>
          <w:i/>
          <w:sz w:val="26"/>
          <w:szCs w:val="26"/>
          <w:lang w:val="pt-BR"/>
        </w:rPr>
        <w:t>Ghi chú:</w:t>
      </w:r>
      <w:r w:rsidRPr="002445FA">
        <w:rPr>
          <w:rFonts w:ascii="Times New Roman" w:hAnsi="Times New Roman"/>
          <w:i/>
          <w:sz w:val="26"/>
          <w:szCs w:val="26"/>
          <w:lang w:val="pt-BR"/>
        </w:rPr>
        <w:t xml:space="preserve"> </w:t>
      </w:r>
      <w:r w:rsidRPr="00587FE1">
        <w:rPr>
          <w:rFonts w:ascii="Times New Roman" w:hAnsi="Times New Roman"/>
          <w:i/>
          <w:sz w:val="26"/>
          <w:szCs w:val="26"/>
          <w:lang w:val="pt-BR"/>
        </w:rPr>
        <w:t>ND</w:t>
      </w:r>
      <w:r>
        <w:rPr>
          <w:rFonts w:ascii="Times New Roman" w:hAnsi="Times New Roman"/>
          <w:i/>
          <w:sz w:val="26"/>
          <w:szCs w:val="26"/>
          <w:lang w:val="pt-BR"/>
        </w:rPr>
        <w:t xml:space="preserve"> </w:t>
      </w:r>
      <w:r w:rsidRPr="00587FE1">
        <w:rPr>
          <w:rFonts w:ascii="Times New Roman" w:hAnsi="Times New Roman"/>
          <w:i/>
          <w:sz w:val="26"/>
          <w:szCs w:val="26"/>
          <w:lang w:val="pt-BR"/>
        </w:rPr>
        <w:t>-</w:t>
      </w:r>
      <w:r>
        <w:rPr>
          <w:rFonts w:ascii="Times New Roman" w:hAnsi="Times New Roman"/>
          <w:i/>
          <w:sz w:val="26"/>
          <w:szCs w:val="26"/>
          <w:lang w:val="pt-BR"/>
        </w:rPr>
        <w:t xml:space="preserve"> </w:t>
      </w:r>
      <w:r w:rsidRPr="00587FE1">
        <w:rPr>
          <w:rFonts w:ascii="Times New Roman" w:hAnsi="Times New Roman"/>
          <w:i/>
          <w:sz w:val="26"/>
          <w:szCs w:val="26"/>
          <w:lang w:val="pt-BR"/>
        </w:rPr>
        <w:t>Nội dung đào tạo theo quy định của TT</w:t>
      </w:r>
      <w:r>
        <w:rPr>
          <w:rFonts w:ascii="Times New Roman" w:hAnsi="Times New Roman"/>
          <w:i/>
          <w:sz w:val="26"/>
          <w:szCs w:val="26"/>
          <w:lang w:val="pt-BR"/>
        </w:rPr>
        <w:t>-</w:t>
      </w:r>
      <w:r w:rsidRPr="00587FE1">
        <w:rPr>
          <w:rFonts w:ascii="Times New Roman" w:hAnsi="Times New Roman"/>
          <w:i/>
          <w:iCs/>
          <w:color w:val="000000"/>
          <w:spacing w:val="1"/>
          <w:sz w:val="28"/>
          <w:szCs w:val="28"/>
          <w:lang w:val="pt-BR"/>
        </w:rPr>
        <w:t>34.</w:t>
      </w:r>
    </w:p>
    <w:p w:rsidR="00225D41" w:rsidRPr="003336CD" w:rsidRDefault="001D63DC" w:rsidP="008E16DB">
      <w:pPr>
        <w:tabs>
          <w:tab w:val="left" w:pos="567"/>
        </w:tabs>
        <w:spacing w:before="120" w:after="120"/>
        <w:jc w:val="center"/>
        <w:rPr>
          <w:rFonts w:ascii="Times New Roman" w:hAnsi="Times New Roman"/>
          <w:sz w:val="26"/>
          <w:szCs w:val="26"/>
          <w:lang w:val="pt-BR"/>
        </w:rPr>
      </w:pPr>
      <w:r>
        <w:object w:dxaOrig="5855" w:dyaOrig="4560">
          <v:shape id="_x0000_i1025" type="#_x0000_t75" style="width:488.65pt;height:228pt" o:ole="">
            <v:imagedata r:id="rId9" o:title=""/>
          </v:shape>
          <o:OLEObject Type="Embed" ProgID="Origin50.Graph" ShapeID="_x0000_i1025" DrawAspect="Content" ObjectID="_1589003555" r:id="rId10"/>
        </w:object>
      </w:r>
      <w:r w:rsidR="00587FE1" w:rsidRPr="003336CD">
        <w:rPr>
          <w:rFonts w:ascii="Times New Roman" w:hAnsi="Times New Roman"/>
          <w:b/>
          <w:i/>
          <w:sz w:val="26"/>
          <w:szCs w:val="26"/>
          <w:lang w:val="pt-BR"/>
        </w:rPr>
        <w:t>Hình 1.</w:t>
      </w:r>
      <w:r w:rsidR="00587FE1" w:rsidRPr="003336CD">
        <w:rPr>
          <w:rFonts w:ascii="Times New Roman" w:hAnsi="Times New Roman"/>
          <w:sz w:val="26"/>
          <w:szCs w:val="26"/>
          <w:lang w:val="pt-BR"/>
        </w:rPr>
        <w:t xml:space="preserve"> </w:t>
      </w:r>
      <w:r w:rsidR="00587FE1" w:rsidRPr="003336CD">
        <w:rPr>
          <w:rFonts w:ascii="Times New Roman" w:hAnsi="Times New Roman"/>
          <w:i/>
          <w:sz w:val="26"/>
          <w:szCs w:val="26"/>
          <w:lang w:val="pt-BR"/>
        </w:rPr>
        <w:t>Biểu đồ thống kê số lượng học viên tham gia các khoá đào tạo ATBX do V</w:t>
      </w:r>
      <w:r w:rsidR="003336CD">
        <w:rPr>
          <w:rFonts w:ascii="Times New Roman" w:hAnsi="Times New Roman"/>
          <w:i/>
          <w:sz w:val="26"/>
          <w:szCs w:val="26"/>
          <w:lang w:val="pt-BR"/>
        </w:rPr>
        <w:t xml:space="preserve">iện </w:t>
      </w:r>
      <w:r w:rsidR="00587FE1" w:rsidRPr="003336CD">
        <w:rPr>
          <w:rFonts w:ascii="Times New Roman" w:hAnsi="Times New Roman"/>
          <w:i/>
          <w:sz w:val="26"/>
          <w:szCs w:val="26"/>
          <w:lang w:val="pt-BR"/>
        </w:rPr>
        <w:t>NCHN tổ chức</w:t>
      </w:r>
      <w:r w:rsidR="000C2B83" w:rsidRPr="003336CD">
        <w:rPr>
          <w:rFonts w:ascii="Times New Roman" w:hAnsi="Times New Roman"/>
          <w:i/>
          <w:sz w:val="26"/>
          <w:szCs w:val="26"/>
          <w:lang w:val="pt-BR"/>
        </w:rPr>
        <w:t xml:space="preserve"> [5]</w:t>
      </w:r>
      <w:r w:rsidR="00587FE1" w:rsidRPr="003336CD">
        <w:rPr>
          <w:rFonts w:ascii="Times New Roman" w:hAnsi="Times New Roman"/>
          <w:i/>
          <w:sz w:val="26"/>
          <w:szCs w:val="26"/>
          <w:lang w:val="pt-BR"/>
        </w:rPr>
        <w:t>.</w:t>
      </w:r>
    </w:p>
    <w:p w:rsidR="00E72592" w:rsidRDefault="008D7478" w:rsidP="008D7478">
      <w:pPr>
        <w:tabs>
          <w:tab w:val="left" w:pos="567"/>
        </w:tabs>
        <w:spacing w:before="120" w:after="120"/>
        <w:jc w:val="both"/>
        <w:rPr>
          <w:rFonts w:ascii="Times New Roman" w:hAnsi="Times New Roman"/>
          <w:sz w:val="26"/>
          <w:szCs w:val="26"/>
          <w:lang w:val="pt-BR"/>
        </w:rPr>
      </w:pPr>
      <w:r>
        <w:rPr>
          <w:rFonts w:ascii="Times New Roman" w:hAnsi="Times New Roman"/>
          <w:sz w:val="26"/>
          <w:szCs w:val="26"/>
          <w:lang w:val="pt-BR"/>
        </w:rPr>
        <w:tab/>
      </w:r>
      <w:r w:rsidR="00E72592" w:rsidRPr="00FA422C">
        <w:rPr>
          <w:rFonts w:ascii="Times New Roman" w:hAnsi="Times New Roman"/>
          <w:sz w:val="26"/>
          <w:szCs w:val="26"/>
          <w:lang w:val="pt-BR"/>
        </w:rPr>
        <w:t>Số lượng học viên tham dự các khóa ATBX do V</w:t>
      </w:r>
      <w:r w:rsidR="00E72592">
        <w:rPr>
          <w:rFonts w:ascii="Times New Roman" w:hAnsi="Times New Roman"/>
          <w:sz w:val="26"/>
          <w:szCs w:val="26"/>
          <w:lang w:val="pt-BR"/>
        </w:rPr>
        <w:t>iện</w:t>
      </w:r>
      <w:r w:rsidR="00E72592" w:rsidRPr="00FA422C">
        <w:rPr>
          <w:rFonts w:ascii="Times New Roman" w:hAnsi="Times New Roman"/>
          <w:sz w:val="26"/>
          <w:szCs w:val="26"/>
          <w:lang w:val="pt-BR"/>
        </w:rPr>
        <w:t xml:space="preserve"> tổ chức chủ yếu ở khu vực Miền Trung, Tây Nguyên, một số cơ sở bức xạ ở Thành phố Hồ Chí Minh và Khu vực Đồng bằng Sông Cửu Long với số lượng ổn định, trung bình vào khoảng 1000 lượt học viên/năm.</w:t>
      </w:r>
    </w:p>
    <w:p w:rsidR="00162A9A" w:rsidRDefault="008D7478" w:rsidP="008D7478">
      <w:pPr>
        <w:tabs>
          <w:tab w:val="left" w:pos="567"/>
        </w:tabs>
        <w:spacing w:before="120" w:after="120"/>
        <w:jc w:val="both"/>
        <w:rPr>
          <w:rFonts w:ascii="Times New Roman" w:hAnsi="Times New Roman"/>
          <w:sz w:val="26"/>
          <w:szCs w:val="26"/>
          <w:lang w:val="pt-BR"/>
        </w:rPr>
      </w:pPr>
      <w:r>
        <w:rPr>
          <w:rFonts w:ascii="Times New Roman" w:hAnsi="Times New Roman"/>
          <w:sz w:val="26"/>
          <w:szCs w:val="26"/>
          <w:lang w:val="pt-BR"/>
        </w:rPr>
        <w:tab/>
      </w:r>
      <w:r w:rsidR="00162A9A">
        <w:rPr>
          <w:rFonts w:ascii="Times New Roman" w:hAnsi="Times New Roman"/>
          <w:sz w:val="26"/>
          <w:szCs w:val="26"/>
          <w:lang w:val="pt-BR"/>
        </w:rPr>
        <w:t xml:space="preserve">Kết quả đánh giá các khóa học theo năm được thống kê trên các biểu đồ Hình 2. Dễ thấy chất lượng của các khóa đào tạo được đảm bảo và ổn định theo từng năm, học viên đạt tỉ lệ </w:t>
      </w:r>
      <w:r w:rsidR="009D2BD9">
        <w:rPr>
          <w:rFonts w:ascii="Times New Roman" w:hAnsi="Times New Roman"/>
          <w:sz w:val="26"/>
          <w:szCs w:val="26"/>
          <w:lang w:val="pt-BR"/>
        </w:rPr>
        <w:t>khá giỏi chiếm tỉ lệ trên 50%.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3058"/>
        <w:gridCol w:w="2871"/>
      </w:tblGrid>
      <w:tr w:rsidR="009D2BD9" w:rsidRPr="00162A9A" w:rsidTr="009D2BD9">
        <w:trPr>
          <w:trHeight w:hRule="exact" w:val="2460"/>
        </w:trPr>
        <w:tc>
          <w:tcPr>
            <w:tcW w:w="3003" w:type="dxa"/>
          </w:tcPr>
          <w:p w:rsidR="009D2BD9" w:rsidRPr="00162A9A" w:rsidRDefault="00A35BA1" w:rsidP="008E16DB">
            <w:pPr>
              <w:tabs>
                <w:tab w:val="left" w:pos="567"/>
              </w:tabs>
              <w:spacing w:before="120" w:after="120"/>
              <w:jc w:val="both"/>
              <w:rPr>
                <w:rFonts w:ascii="Times New Roman" w:hAnsi="Times New Roman"/>
              </w:rPr>
            </w:pPr>
            <w:r w:rsidRPr="00162A9A">
              <w:rPr>
                <w:rFonts w:ascii="Times New Roman" w:hAnsi="Times New Roman"/>
              </w:rPr>
              <w:object w:dxaOrig="5855" w:dyaOrig="4560">
                <v:shape id="_x0000_i1026" type="#_x0000_t75" style="width:152.65pt;height:119.5pt" o:ole="">
                  <v:imagedata r:id="rId11" o:title=""/>
                </v:shape>
                <o:OLEObject Type="Embed" ProgID="Origin50.Graph" ShapeID="_x0000_i1026" DrawAspect="Content" ObjectID="_1589003556" r:id="rId12"/>
              </w:object>
            </w:r>
          </w:p>
        </w:tc>
        <w:tc>
          <w:tcPr>
            <w:tcW w:w="2986" w:type="dxa"/>
          </w:tcPr>
          <w:p w:rsidR="009D2BD9" w:rsidRPr="00162A9A" w:rsidRDefault="00A35BA1" w:rsidP="008E16DB">
            <w:pPr>
              <w:tabs>
                <w:tab w:val="left" w:pos="567"/>
              </w:tabs>
              <w:spacing w:before="120" w:after="120"/>
              <w:jc w:val="both"/>
              <w:rPr>
                <w:rFonts w:ascii="Times New Roman" w:hAnsi="Times New Roman"/>
              </w:rPr>
            </w:pPr>
            <w:r w:rsidRPr="00162A9A">
              <w:rPr>
                <w:rFonts w:ascii="Times New Roman" w:hAnsi="Times New Roman"/>
              </w:rPr>
              <w:object w:dxaOrig="5855" w:dyaOrig="4560">
                <v:shape id="_x0000_i1027" type="#_x0000_t75" style="width:151.7pt;height:118.1pt" o:ole="">
                  <v:imagedata r:id="rId13" o:title=""/>
                </v:shape>
                <o:OLEObject Type="Embed" ProgID="Origin50.Graph" ShapeID="_x0000_i1027" DrawAspect="Content" ObjectID="_1589003557" r:id="rId14"/>
              </w:object>
            </w:r>
          </w:p>
        </w:tc>
        <w:tc>
          <w:tcPr>
            <w:tcW w:w="2799" w:type="dxa"/>
          </w:tcPr>
          <w:p w:rsidR="009D2BD9" w:rsidRPr="00162A9A" w:rsidRDefault="00A35BA1" w:rsidP="008E16DB">
            <w:pPr>
              <w:tabs>
                <w:tab w:val="left" w:pos="567"/>
              </w:tabs>
              <w:spacing w:before="120" w:after="120"/>
              <w:jc w:val="both"/>
              <w:rPr>
                <w:rFonts w:ascii="Times New Roman" w:hAnsi="Times New Roman"/>
              </w:rPr>
            </w:pPr>
            <w:r w:rsidRPr="00162A9A">
              <w:rPr>
                <w:rFonts w:ascii="Times New Roman" w:hAnsi="Times New Roman"/>
              </w:rPr>
              <w:object w:dxaOrig="5855" w:dyaOrig="4560">
                <v:shape id="_x0000_i1028" type="#_x0000_t75" style="width:141.6pt;height:119.5pt" o:ole="">
                  <v:imagedata r:id="rId15" o:title=""/>
                </v:shape>
                <o:OLEObject Type="Embed" ProgID="Origin50.Graph" ShapeID="_x0000_i1028" DrawAspect="Content" ObjectID="_1589003558" r:id="rId16"/>
              </w:object>
            </w:r>
          </w:p>
        </w:tc>
      </w:tr>
      <w:tr w:rsidR="009D2BD9" w:rsidRPr="00162A9A" w:rsidTr="00572BAE">
        <w:tc>
          <w:tcPr>
            <w:tcW w:w="8788" w:type="dxa"/>
            <w:gridSpan w:val="3"/>
          </w:tcPr>
          <w:p w:rsidR="009D2BD9" w:rsidRPr="009D2BD9" w:rsidRDefault="009D2BD9" w:rsidP="008E16DB">
            <w:pPr>
              <w:tabs>
                <w:tab w:val="left" w:pos="567"/>
              </w:tabs>
              <w:spacing w:before="120" w:after="120"/>
              <w:jc w:val="center"/>
              <w:rPr>
                <w:rFonts w:ascii="Times New Roman" w:hAnsi="Times New Roman"/>
                <w:i/>
              </w:rPr>
            </w:pPr>
            <w:proofErr w:type="spellStart"/>
            <w:r w:rsidRPr="009D2BD9">
              <w:rPr>
                <w:rFonts w:ascii="Times New Roman" w:hAnsi="Times New Roman"/>
                <w:b/>
                <w:i/>
                <w:sz w:val="26"/>
              </w:rPr>
              <w:t>Hình</w:t>
            </w:r>
            <w:proofErr w:type="spellEnd"/>
            <w:r w:rsidRPr="009D2BD9">
              <w:rPr>
                <w:rFonts w:ascii="Times New Roman" w:hAnsi="Times New Roman"/>
                <w:b/>
                <w:i/>
                <w:sz w:val="26"/>
              </w:rPr>
              <w:t xml:space="preserve"> 2.</w:t>
            </w:r>
            <w:r w:rsidRPr="009D2BD9">
              <w:rPr>
                <w:rFonts w:ascii="Times New Roman" w:hAnsi="Times New Roman"/>
                <w:i/>
                <w:sz w:val="26"/>
              </w:rPr>
              <w:t xml:space="preserve"> </w:t>
            </w:r>
            <w:proofErr w:type="spellStart"/>
            <w:r w:rsidR="00F00C0C">
              <w:rPr>
                <w:rFonts w:ascii="Times New Roman" w:hAnsi="Times New Roman"/>
                <w:i/>
                <w:sz w:val="26"/>
              </w:rPr>
              <w:t>Biểu</w:t>
            </w:r>
            <w:proofErr w:type="spellEnd"/>
            <w:r w:rsidR="00F00C0C">
              <w:rPr>
                <w:rFonts w:ascii="Times New Roman" w:hAnsi="Times New Roman"/>
                <w:i/>
                <w:sz w:val="26"/>
              </w:rPr>
              <w:t xml:space="preserve"> </w:t>
            </w:r>
            <w:proofErr w:type="spellStart"/>
            <w:r w:rsidR="00F00C0C">
              <w:rPr>
                <w:rFonts w:ascii="Times New Roman" w:hAnsi="Times New Roman"/>
                <w:i/>
                <w:sz w:val="26"/>
              </w:rPr>
              <w:t>đồ</w:t>
            </w:r>
            <w:proofErr w:type="spellEnd"/>
            <w:r w:rsidR="00F00C0C">
              <w:rPr>
                <w:rFonts w:ascii="Times New Roman" w:hAnsi="Times New Roman"/>
                <w:i/>
                <w:sz w:val="26"/>
              </w:rPr>
              <w:t xml:space="preserve"> </w:t>
            </w:r>
            <w:proofErr w:type="spellStart"/>
            <w:r w:rsidR="00F00C0C">
              <w:rPr>
                <w:rFonts w:ascii="Times New Roman" w:hAnsi="Times New Roman"/>
                <w:i/>
                <w:sz w:val="26"/>
              </w:rPr>
              <w:t>thống</w:t>
            </w:r>
            <w:proofErr w:type="spellEnd"/>
            <w:r w:rsidR="00F00C0C">
              <w:rPr>
                <w:rFonts w:ascii="Times New Roman" w:hAnsi="Times New Roman"/>
                <w:i/>
                <w:sz w:val="26"/>
              </w:rPr>
              <w:t xml:space="preserve"> </w:t>
            </w:r>
            <w:proofErr w:type="spellStart"/>
            <w:r w:rsidR="00F00C0C">
              <w:rPr>
                <w:rFonts w:ascii="Times New Roman" w:hAnsi="Times New Roman"/>
                <w:i/>
                <w:sz w:val="26"/>
              </w:rPr>
              <w:t>kê</w:t>
            </w:r>
            <w:proofErr w:type="spellEnd"/>
            <w:r w:rsidR="00F00C0C">
              <w:rPr>
                <w:rFonts w:ascii="Times New Roman" w:hAnsi="Times New Roman"/>
                <w:i/>
                <w:sz w:val="26"/>
              </w:rPr>
              <w:t xml:space="preserve"> </w:t>
            </w:r>
            <w:proofErr w:type="spellStart"/>
            <w:r w:rsidR="00F00C0C">
              <w:rPr>
                <w:rFonts w:ascii="Times New Roman" w:hAnsi="Times New Roman"/>
                <w:i/>
                <w:sz w:val="26"/>
              </w:rPr>
              <w:t>kết</w:t>
            </w:r>
            <w:proofErr w:type="spellEnd"/>
            <w:r w:rsidR="00F00C0C">
              <w:rPr>
                <w:rFonts w:ascii="Times New Roman" w:hAnsi="Times New Roman"/>
                <w:i/>
                <w:sz w:val="26"/>
              </w:rPr>
              <w:t xml:space="preserve"> </w:t>
            </w:r>
            <w:proofErr w:type="spellStart"/>
            <w:r w:rsidR="00F00C0C">
              <w:rPr>
                <w:rFonts w:ascii="Times New Roman" w:hAnsi="Times New Roman"/>
                <w:i/>
                <w:sz w:val="26"/>
              </w:rPr>
              <w:t>quả</w:t>
            </w:r>
            <w:proofErr w:type="spellEnd"/>
            <w:r w:rsidR="00F00C0C">
              <w:rPr>
                <w:rFonts w:ascii="Times New Roman" w:hAnsi="Times New Roman"/>
                <w:i/>
                <w:sz w:val="26"/>
              </w:rPr>
              <w:t xml:space="preserve"> </w:t>
            </w:r>
            <w:proofErr w:type="spellStart"/>
            <w:r w:rsidR="00F00C0C">
              <w:rPr>
                <w:rFonts w:ascii="Times New Roman" w:hAnsi="Times New Roman"/>
                <w:i/>
                <w:sz w:val="26"/>
              </w:rPr>
              <w:t>làm</w:t>
            </w:r>
            <w:proofErr w:type="spellEnd"/>
            <w:r w:rsidR="00F00C0C">
              <w:rPr>
                <w:rFonts w:ascii="Times New Roman" w:hAnsi="Times New Roman"/>
                <w:i/>
                <w:sz w:val="26"/>
              </w:rPr>
              <w:t xml:space="preserve"> </w:t>
            </w:r>
            <w:proofErr w:type="spellStart"/>
            <w:r w:rsidR="00F00C0C">
              <w:rPr>
                <w:rFonts w:ascii="Times New Roman" w:hAnsi="Times New Roman"/>
                <w:i/>
                <w:sz w:val="26"/>
              </w:rPr>
              <w:t>bài</w:t>
            </w:r>
            <w:proofErr w:type="spellEnd"/>
            <w:r w:rsidR="00F00C0C">
              <w:rPr>
                <w:rFonts w:ascii="Times New Roman" w:hAnsi="Times New Roman"/>
                <w:i/>
                <w:sz w:val="26"/>
              </w:rPr>
              <w:t xml:space="preserve"> </w:t>
            </w:r>
            <w:proofErr w:type="spellStart"/>
            <w:r w:rsidR="00F00C0C">
              <w:rPr>
                <w:rFonts w:ascii="Times New Roman" w:hAnsi="Times New Roman"/>
                <w:i/>
                <w:sz w:val="26"/>
              </w:rPr>
              <w:t>của</w:t>
            </w:r>
            <w:proofErr w:type="spellEnd"/>
            <w:r w:rsidR="00F00C0C">
              <w:rPr>
                <w:rFonts w:ascii="Times New Roman" w:hAnsi="Times New Roman"/>
                <w:i/>
                <w:sz w:val="26"/>
              </w:rPr>
              <w:t xml:space="preserve"> </w:t>
            </w:r>
            <w:proofErr w:type="spellStart"/>
            <w:r w:rsidR="00F00C0C">
              <w:rPr>
                <w:rFonts w:ascii="Times New Roman" w:hAnsi="Times New Roman"/>
                <w:i/>
                <w:sz w:val="26"/>
              </w:rPr>
              <w:t>học</w:t>
            </w:r>
            <w:proofErr w:type="spellEnd"/>
            <w:r w:rsidR="00F00C0C">
              <w:rPr>
                <w:rFonts w:ascii="Times New Roman" w:hAnsi="Times New Roman"/>
                <w:i/>
                <w:sz w:val="26"/>
              </w:rPr>
              <w:t xml:space="preserve"> </w:t>
            </w:r>
            <w:proofErr w:type="spellStart"/>
            <w:r w:rsidR="00F00C0C">
              <w:rPr>
                <w:rFonts w:ascii="Times New Roman" w:hAnsi="Times New Roman"/>
                <w:i/>
                <w:sz w:val="26"/>
              </w:rPr>
              <w:t>viên</w:t>
            </w:r>
            <w:proofErr w:type="spellEnd"/>
            <w:r>
              <w:rPr>
                <w:rFonts w:ascii="Times New Roman" w:hAnsi="Times New Roman"/>
                <w:i/>
                <w:sz w:val="26"/>
              </w:rPr>
              <w:t>.</w:t>
            </w:r>
          </w:p>
        </w:tc>
      </w:tr>
    </w:tbl>
    <w:p w:rsidR="00E72592" w:rsidRPr="00FA422C" w:rsidRDefault="008D7478" w:rsidP="008D7478">
      <w:pPr>
        <w:tabs>
          <w:tab w:val="left" w:pos="567"/>
        </w:tabs>
        <w:spacing w:before="120" w:after="120"/>
        <w:jc w:val="both"/>
        <w:rPr>
          <w:rFonts w:ascii="Times New Roman" w:hAnsi="Times New Roman"/>
          <w:sz w:val="26"/>
          <w:szCs w:val="26"/>
          <w:lang w:val="pt-BR"/>
        </w:rPr>
      </w:pPr>
      <w:r>
        <w:rPr>
          <w:rFonts w:ascii="Times New Roman" w:hAnsi="Times New Roman"/>
          <w:sz w:val="26"/>
          <w:szCs w:val="26"/>
          <w:lang w:val="pt-BR"/>
        </w:rPr>
        <w:tab/>
      </w:r>
      <w:r w:rsidR="00E72592" w:rsidRPr="00FA422C">
        <w:rPr>
          <w:rFonts w:ascii="Times New Roman" w:hAnsi="Times New Roman"/>
          <w:sz w:val="26"/>
          <w:szCs w:val="26"/>
          <w:lang w:val="pt-BR"/>
        </w:rPr>
        <w:t>Công tác tổ chức các khóa ATBX luôn được cải tiến, ngày càng mang tính chuyên nghiệp phục vụ người học ở mức cao nhất có thể.</w:t>
      </w:r>
    </w:p>
    <w:p w:rsidR="009E72CC" w:rsidRDefault="00E72592" w:rsidP="008E16DB">
      <w:pPr>
        <w:tabs>
          <w:tab w:val="left" w:pos="567"/>
        </w:tabs>
        <w:spacing w:before="120" w:after="120"/>
        <w:rPr>
          <w:rFonts w:ascii="Times New Roman" w:hAnsi="Times New Roman"/>
          <w:b/>
          <w:sz w:val="26"/>
          <w:szCs w:val="26"/>
          <w:lang w:val="pt-BR"/>
        </w:rPr>
      </w:pPr>
      <w:r w:rsidRPr="00FA422C">
        <w:rPr>
          <w:rFonts w:ascii="Times New Roman" w:hAnsi="Times New Roman"/>
          <w:b/>
          <w:sz w:val="26"/>
          <w:szCs w:val="26"/>
          <w:lang w:val="pt-BR"/>
        </w:rPr>
        <w:t>IV. Kết luận và kiến nghị</w:t>
      </w:r>
    </w:p>
    <w:p w:rsidR="009E72CC" w:rsidRPr="009E72CC" w:rsidRDefault="009E72CC" w:rsidP="008E16DB">
      <w:pPr>
        <w:tabs>
          <w:tab w:val="left" w:pos="567"/>
        </w:tabs>
        <w:spacing w:before="120" w:after="120"/>
        <w:rPr>
          <w:rFonts w:ascii="Times New Roman" w:hAnsi="Times New Roman"/>
          <w:b/>
          <w:i/>
          <w:sz w:val="26"/>
          <w:szCs w:val="26"/>
          <w:lang w:val="pt-BR"/>
        </w:rPr>
      </w:pPr>
      <w:r w:rsidRPr="009E72CC">
        <w:rPr>
          <w:rFonts w:ascii="Times New Roman" w:hAnsi="Times New Roman"/>
          <w:b/>
          <w:i/>
          <w:sz w:val="26"/>
          <w:szCs w:val="26"/>
          <w:lang w:val="pt-BR"/>
        </w:rPr>
        <w:t>* Kết luận</w:t>
      </w:r>
    </w:p>
    <w:p w:rsidR="00E72592" w:rsidRPr="00FA422C" w:rsidRDefault="008D7478" w:rsidP="008D7478">
      <w:pPr>
        <w:tabs>
          <w:tab w:val="left" w:pos="567"/>
        </w:tabs>
        <w:spacing w:before="120" w:after="120"/>
        <w:jc w:val="both"/>
        <w:rPr>
          <w:rFonts w:ascii="Times New Roman" w:hAnsi="Times New Roman"/>
          <w:iCs/>
          <w:color w:val="000000"/>
          <w:spacing w:val="1"/>
          <w:sz w:val="26"/>
          <w:szCs w:val="26"/>
          <w:lang w:val="pt-BR"/>
        </w:rPr>
      </w:pPr>
      <w:r>
        <w:rPr>
          <w:rFonts w:ascii="Times New Roman" w:hAnsi="Times New Roman"/>
          <w:sz w:val="26"/>
          <w:szCs w:val="26"/>
          <w:lang w:val="pt-BR"/>
        </w:rPr>
        <w:tab/>
      </w:r>
      <w:r w:rsidR="00E72592" w:rsidRPr="00FA422C">
        <w:rPr>
          <w:rFonts w:ascii="Times New Roman" w:hAnsi="Times New Roman"/>
          <w:sz w:val="26"/>
          <w:szCs w:val="26"/>
          <w:lang w:val="pt-BR"/>
        </w:rPr>
        <w:t>Công tác tổ chức các khóa đào tạo ATBX của V</w:t>
      </w:r>
      <w:r w:rsidR="00E72592">
        <w:rPr>
          <w:rFonts w:ascii="Times New Roman" w:hAnsi="Times New Roman"/>
          <w:sz w:val="26"/>
          <w:szCs w:val="26"/>
          <w:lang w:val="pt-BR"/>
        </w:rPr>
        <w:t xml:space="preserve">iện </w:t>
      </w:r>
      <w:r w:rsidR="00E72592" w:rsidRPr="00FA422C">
        <w:rPr>
          <w:rFonts w:ascii="Times New Roman" w:hAnsi="Times New Roman"/>
          <w:sz w:val="26"/>
          <w:szCs w:val="26"/>
          <w:lang w:val="pt-BR"/>
        </w:rPr>
        <w:t>NCHN tuân thủ đúng theo hướng dẫn của TT</w:t>
      </w:r>
      <w:r w:rsidR="00E72592">
        <w:rPr>
          <w:rFonts w:ascii="Times New Roman" w:hAnsi="Times New Roman"/>
          <w:sz w:val="26"/>
          <w:szCs w:val="26"/>
          <w:lang w:val="pt-BR"/>
        </w:rPr>
        <w:t>-</w:t>
      </w:r>
      <w:r w:rsidR="00E72592" w:rsidRPr="00FA422C">
        <w:rPr>
          <w:rFonts w:ascii="Times New Roman" w:hAnsi="Times New Roman"/>
          <w:iCs/>
          <w:color w:val="000000"/>
          <w:spacing w:val="1"/>
          <w:sz w:val="26"/>
          <w:szCs w:val="26"/>
          <w:lang w:val="pt-BR"/>
        </w:rPr>
        <w:t xml:space="preserve">34 và ISO 9001 – 2015, chất lượng của các khóa đào tạo luôn được duy trì đảm bảo với chất lượng cao. </w:t>
      </w:r>
    </w:p>
    <w:p w:rsidR="00E72592" w:rsidRPr="00FA422C" w:rsidRDefault="008D7478" w:rsidP="008D7478">
      <w:pPr>
        <w:tabs>
          <w:tab w:val="left" w:pos="567"/>
        </w:tabs>
        <w:spacing w:before="120" w:after="120"/>
        <w:jc w:val="both"/>
        <w:rPr>
          <w:rFonts w:ascii="Times New Roman" w:hAnsi="Times New Roman"/>
          <w:sz w:val="26"/>
          <w:szCs w:val="26"/>
          <w:lang w:val="pt-BR"/>
        </w:rPr>
      </w:pPr>
      <w:r>
        <w:rPr>
          <w:rFonts w:ascii="Times New Roman" w:hAnsi="Times New Roman"/>
          <w:iCs/>
          <w:color w:val="000000"/>
          <w:spacing w:val="1"/>
          <w:sz w:val="26"/>
          <w:szCs w:val="26"/>
          <w:lang w:val="pt-BR"/>
        </w:rPr>
        <w:tab/>
      </w:r>
      <w:r w:rsidR="00E72592" w:rsidRPr="00FA422C">
        <w:rPr>
          <w:rFonts w:ascii="Times New Roman" w:hAnsi="Times New Roman"/>
          <w:iCs/>
          <w:color w:val="000000"/>
          <w:spacing w:val="1"/>
          <w:sz w:val="26"/>
          <w:szCs w:val="26"/>
          <w:lang w:val="pt-BR"/>
        </w:rPr>
        <w:t>V</w:t>
      </w:r>
      <w:r w:rsidR="00E72592">
        <w:rPr>
          <w:rFonts w:ascii="Times New Roman" w:hAnsi="Times New Roman"/>
          <w:iCs/>
          <w:color w:val="000000"/>
          <w:spacing w:val="1"/>
          <w:sz w:val="26"/>
          <w:szCs w:val="26"/>
          <w:lang w:val="pt-BR"/>
        </w:rPr>
        <w:t>iện</w:t>
      </w:r>
      <w:r w:rsidR="00E72592" w:rsidRPr="00FA422C">
        <w:rPr>
          <w:rFonts w:ascii="Times New Roman" w:hAnsi="Times New Roman"/>
          <w:iCs/>
          <w:color w:val="000000"/>
          <w:spacing w:val="1"/>
          <w:sz w:val="26"/>
          <w:szCs w:val="26"/>
          <w:lang w:val="pt-BR"/>
        </w:rPr>
        <w:t xml:space="preserve"> luôn xác định đào tạo ATBX là một trong những nhiệm vụ chính trị quan trọng nhằm “Hỗ trợ ứng dụng năng lượng nguyên tử”, nên </w:t>
      </w:r>
      <w:r w:rsidR="00E72592" w:rsidRPr="00FA422C">
        <w:rPr>
          <w:rFonts w:ascii="Times New Roman" w:hAnsi="Times New Roman"/>
          <w:sz w:val="26"/>
          <w:szCs w:val="26"/>
          <w:lang w:val="pt-BR"/>
        </w:rPr>
        <w:t>mặc dù có sự tham gia cạnh tranh của nhiều cơ sở đào tạo ATBX khác trên khắp cả nước</w:t>
      </w:r>
      <w:r w:rsidR="00E72592">
        <w:rPr>
          <w:rFonts w:ascii="Times New Roman" w:hAnsi="Times New Roman"/>
          <w:sz w:val="26"/>
          <w:szCs w:val="26"/>
          <w:lang w:val="pt-BR"/>
        </w:rPr>
        <w:t>.</w:t>
      </w:r>
      <w:r w:rsidR="00E72592" w:rsidRPr="00FA422C">
        <w:rPr>
          <w:rFonts w:ascii="Times New Roman" w:hAnsi="Times New Roman"/>
          <w:sz w:val="26"/>
          <w:szCs w:val="26"/>
          <w:lang w:val="pt-BR"/>
        </w:rPr>
        <w:t xml:space="preserve"> </w:t>
      </w:r>
      <w:r w:rsidR="00E72592">
        <w:rPr>
          <w:rFonts w:ascii="Times New Roman" w:hAnsi="Times New Roman"/>
          <w:sz w:val="26"/>
          <w:szCs w:val="26"/>
          <w:lang w:val="pt-BR"/>
        </w:rPr>
        <w:t>K</w:t>
      </w:r>
      <w:r w:rsidR="00E72592" w:rsidRPr="00FA422C">
        <w:rPr>
          <w:rFonts w:ascii="Times New Roman" w:hAnsi="Times New Roman"/>
          <w:sz w:val="26"/>
          <w:szCs w:val="26"/>
          <w:lang w:val="pt-BR"/>
        </w:rPr>
        <w:t>inh phí thu được từ hoạt động giảng dạy ATBX không nhiều nhưng V</w:t>
      </w:r>
      <w:r w:rsidR="00E72592">
        <w:rPr>
          <w:rFonts w:ascii="Times New Roman" w:hAnsi="Times New Roman"/>
          <w:sz w:val="26"/>
          <w:szCs w:val="26"/>
          <w:lang w:val="pt-BR"/>
        </w:rPr>
        <w:t>iện</w:t>
      </w:r>
      <w:r w:rsidR="00E72592" w:rsidRPr="00FA422C">
        <w:rPr>
          <w:rFonts w:ascii="Times New Roman" w:hAnsi="Times New Roman"/>
          <w:sz w:val="26"/>
          <w:szCs w:val="26"/>
          <w:lang w:val="pt-BR"/>
        </w:rPr>
        <w:t xml:space="preserve"> vẫn tiếp tục đầu tư </w:t>
      </w:r>
      <w:r w:rsidR="00E72592" w:rsidRPr="00FA422C">
        <w:rPr>
          <w:rFonts w:ascii="Times New Roman" w:hAnsi="Times New Roman"/>
          <w:sz w:val="26"/>
          <w:szCs w:val="26"/>
          <w:lang w:val="pt-BR"/>
        </w:rPr>
        <w:lastRenderedPageBreak/>
        <w:t>chiều sâu về trang thiết bị, cơ sở vật chất nhân lực và tài liệu để hỗ trợ người học và các cơ sở bức xạ trong công tác đảm bảo ATBX ngày một tốt hơn. Việc được nhận được ý kiến đánh giá cao của chuyên gia đánh giá ISO năm 2017 và sự lựa chọn ngày càng nhiều của các cơ sở ứng dụng bức xạ có yếu tố nước ngoài hoặc chất lượng cao đối với dịch vụ đào tạo ATBX của V</w:t>
      </w:r>
      <w:r w:rsidR="00E72592">
        <w:rPr>
          <w:rFonts w:ascii="Times New Roman" w:hAnsi="Times New Roman"/>
          <w:sz w:val="26"/>
          <w:szCs w:val="26"/>
          <w:lang w:val="pt-BR"/>
        </w:rPr>
        <w:t>iện</w:t>
      </w:r>
      <w:r w:rsidR="00E72592" w:rsidRPr="00FA422C">
        <w:rPr>
          <w:rFonts w:ascii="Times New Roman" w:hAnsi="Times New Roman"/>
          <w:sz w:val="26"/>
          <w:szCs w:val="26"/>
          <w:lang w:val="pt-BR"/>
        </w:rPr>
        <w:t xml:space="preserve"> đã phần nào nói lên điều đó.  </w:t>
      </w:r>
    </w:p>
    <w:p w:rsidR="009E72CC" w:rsidRDefault="008D7478" w:rsidP="008D7478">
      <w:pPr>
        <w:tabs>
          <w:tab w:val="left" w:pos="567"/>
        </w:tabs>
        <w:spacing w:before="120" w:after="120"/>
        <w:jc w:val="both"/>
        <w:rPr>
          <w:rFonts w:ascii="Times New Roman" w:hAnsi="Times New Roman"/>
          <w:sz w:val="26"/>
          <w:szCs w:val="26"/>
          <w:lang w:val="pt-BR"/>
        </w:rPr>
      </w:pPr>
      <w:r>
        <w:rPr>
          <w:rFonts w:ascii="Times New Roman" w:hAnsi="Times New Roman"/>
          <w:sz w:val="26"/>
          <w:szCs w:val="26"/>
          <w:lang w:val="pt-BR"/>
        </w:rPr>
        <w:tab/>
      </w:r>
      <w:r w:rsidR="00E72592" w:rsidRPr="00FA422C">
        <w:rPr>
          <w:rFonts w:ascii="Times New Roman" w:hAnsi="Times New Roman"/>
          <w:sz w:val="26"/>
          <w:szCs w:val="26"/>
          <w:lang w:val="pt-BR"/>
        </w:rPr>
        <w:t xml:space="preserve">Kế hoạch hoạt động của từng cơ sở bức xạ thường khác nhau nên số lượng học viên đăng ký học tập trung theo khu vực thường không nhiều, trừ </w:t>
      </w:r>
      <w:r w:rsidR="00E72592">
        <w:rPr>
          <w:rFonts w:ascii="Times New Roman" w:hAnsi="Times New Roman"/>
          <w:sz w:val="26"/>
          <w:szCs w:val="26"/>
          <w:lang w:val="pt-BR"/>
        </w:rPr>
        <w:t>N</w:t>
      </w:r>
      <w:r w:rsidR="00E72592" w:rsidRPr="00FA422C">
        <w:rPr>
          <w:rFonts w:ascii="Times New Roman" w:hAnsi="Times New Roman"/>
          <w:sz w:val="26"/>
          <w:szCs w:val="26"/>
          <w:lang w:val="pt-BR"/>
        </w:rPr>
        <w:t xml:space="preserve">ội dung 1, 9, 13 và 14, các </w:t>
      </w:r>
      <w:r w:rsidR="00E72592">
        <w:rPr>
          <w:rFonts w:ascii="Times New Roman" w:hAnsi="Times New Roman"/>
          <w:sz w:val="26"/>
          <w:szCs w:val="26"/>
          <w:lang w:val="pt-BR"/>
        </w:rPr>
        <w:t>N</w:t>
      </w:r>
      <w:r w:rsidR="00E72592" w:rsidRPr="00FA422C">
        <w:rPr>
          <w:rFonts w:ascii="Times New Roman" w:hAnsi="Times New Roman"/>
          <w:sz w:val="26"/>
          <w:szCs w:val="26"/>
          <w:lang w:val="pt-BR"/>
        </w:rPr>
        <w:t xml:space="preserve">ội dung còn lại số lượng học viên rất ít. Tổ chức chức lớp riêng cho từng nội dung </w:t>
      </w:r>
      <w:r w:rsidR="009E72CC">
        <w:rPr>
          <w:rFonts w:ascii="Times New Roman" w:hAnsi="Times New Roman"/>
          <w:sz w:val="26"/>
          <w:szCs w:val="26"/>
          <w:lang w:val="pt-BR"/>
        </w:rPr>
        <w:t>còn</w:t>
      </w:r>
      <w:r w:rsidR="00E72592" w:rsidRPr="00FA422C">
        <w:rPr>
          <w:rFonts w:ascii="Times New Roman" w:hAnsi="Times New Roman"/>
          <w:sz w:val="26"/>
          <w:szCs w:val="26"/>
          <w:lang w:val="pt-BR"/>
        </w:rPr>
        <w:t xml:space="preserve"> gặp khó khăn khi giảng dạy ở ngoài cơ sở (phòng học, giảng viên). </w:t>
      </w:r>
    </w:p>
    <w:p w:rsidR="009E72CC" w:rsidRPr="009E72CC" w:rsidRDefault="009E72CC" w:rsidP="008E16DB">
      <w:pPr>
        <w:tabs>
          <w:tab w:val="left" w:pos="567"/>
        </w:tabs>
        <w:spacing w:before="120" w:after="120"/>
        <w:rPr>
          <w:rFonts w:ascii="Times New Roman" w:hAnsi="Times New Roman"/>
          <w:b/>
          <w:i/>
          <w:sz w:val="26"/>
          <w:szCs w:val="26"/>
          <w:lang w:val="pt-BR"/>
        </w:rPr>
      </w:pPr>
      <w:r w:rsidRPr="009E72CC">
        <w:rPr>
          <w:rFonts w:ascii="Times New Roman" w:hAnsi="Times New Roman"/>
          <w:b/>
          <w:i/>
          <w:sz w:val="26"/>
          <w:szCs w:val="26"/>
          <w:lang w:val="pt-BR"/>
        </w:rPr>
        <w:t>* K</w:t>
      </w:r>
      <w:r>
        <w:rPr>
          <w:rFonts w:ascii="Times New Roman" w:hAnsi="Times New Roman"/>
          <w:b/>
          <w:i/>
          <w:sz w:val="26"/>
          <w:szCs w:val="26"/>
          <w:lang w:val="pt-BR"/>
        </w:rPr>
        <w:t>iến nghị</w:t>
      </w:r>
    </w:p>
    <w:p w:rsidR="00E72592" w:rsidRPr="00FA422C" w:rsidRDefault="008D7478" w:rsidP="008D7478">
      <w:pPr>
        <w:tabs>
          <w:tab w:val="left" w:pos="567"/>
        </w:tabs>
        <w:spacing w:before="120" w:after="120"/>
        <w:jc w:val="both"/>
        <w:rPr>
          <w:rFonts w:ascii="Times New Roman" w:hAnsi="Times New Roman"/>
          <w:sz w:val="26"/>
          <w:szCs w:val="26"/>
          <w:lang w:val="pt-BR"/>
        </w:rPr>
      </w:pPr>
      <w:r>
        <w:rPr>
          <w:rFonts w:ascii="Times New Roman" w:hAnsi="Times New Roman"/>
          <w:sz w:val="26"/>
          <w:szCs w:val="26"/>
          <w:lang w:val="pt-BR"/>
        </w:rPr>
        <w:tab/>
      </w:r>
      <w:r w:rsidR="00E72592" w:rsidRPr="00FA422C">
        <w:rPr>
          <w:rFonts w:ascii="Times New Roman" w:hAnsi="Times New Roman"/>
          <w:sz w:val="26"/>
          <w:szCs w:val="26"/>
          <w:lang w:val="pt-BR"/>
        </w:rPr>
        <w:t xml:space="preserve">Khung chương trình đào tạo ATBX cho các </w:t>
      </w:r>
      <w:r w:rsidR="00E72592">
        <w:rPr>
          <w:rFonts w:ascii="Times New Roman" w:hAnsi="Times New Roman"/>
          <w:sz w:val="26"/>
          <w:szCs w:val="26"/>
          <w:lang w:val="pt-BR"/>
        </w:rPr>
        <w:t>N</w:t>
      </w:r>
      <w:r w:rsidR="00E72592" w:rsidRPr="00FA422C">
        <w:rPr>
          <w:rFonts w:ascii="Times New Roman" w:hAnsi="Times New Roman"/>
          <w:sz w:val="26"/>
          <w:szCs w:val="26"/>
          <w:lang w:val="pt-BR"/>
        </w:rPr>
        <w:t xml:space="preserve">ội dung 1 đến 13 (theo </w:t>
      </w:r>
      <w:r w:rsidR="00E72592">
        <w:rPr>
          <w:rFonts w:ascii="Times New Roman" w:hAnsi="Times New Roman"/>
          <w:sz w:val="26"/>
          <w:szCs w:val="26"/>
          <w:lang w:val="pt-BR"/>
        </w:rPr>
        <w:t>P</w:t>
      </w:r>
      <w:r w:rsidR="00E72592" w:rsidRPr="00FA422C">
        <w:rPr>
          <w:rFonts w:ascii="Times New Roman" w:hAnsi="Times New Roman"/>
          <w:sz w:val="26"/>
          <w:szCs w:val="26"/>
          <w:lang w:val="pt-BR"/>
        </w:rPr>
        <w:t>hụ lục TT</w:t>
      </w:r>
      <w:r w:rsidR="00E72592">
        <w:rPr>
          <w:rFonts w:ascii="Times New Roman" w:hAnsi="Times New Roman"/>
          <w:sz w:val="26"/>
          <w:szCs w:val="26"/>
          <w:lang w:val="pt-BR"/>
        </w:rPr>
        <w:t>-</w:t>
      </w:r>
      <w:r w:rsidR="00E72592" w:rsidRPr="00FA422C">
        <w:rPr>
          <w:rFonts w:ascii="Times New Roman" w:hAnsi="Times New Roman"/>
          <w:sz w:val="26"/>
          <w:szCs w:val="26"/>
          <w:lang w:val="pt-BR"/>
        </w:rPr>
        <w:t>34) nên gồm 2 phần: phần kiến thức chung áp dụng với mọi nhân viên bức xạ và phần kiến thức bổ sung cho từng loại hình công việc.</w:t>
      </w:r>
      <w:r w:rsidR="009E72CC">
        <w:rPr>
          <w:rFonts w:ascii="Times New Roman" w:hAnsi="Times New Roman"/>
          <w:sz w:val="26"/>
          <w:szCs w:val="26"/>
          <w:lang w:val="pt-BR"/>
        </w:rPr>
        <w:t xml:space="preserve"> </w:t>
      </w:r>
    </w:p>
    <w:p w:rsidR="00E72592" w:rsidRPr="00FA422C" w:rsidRDefault="008D7478" w:rsidP="008D7478">
      <w:pPr>
        <w:tabs>
          <w:tab w:val="left" w:pos="567"/>
        </w:tabs>
        <w:spacing w:before="120" w:after="120"/>
        <w:jc w:val="both"/>
        <w:rPr>
          <w:rFonts w:ascii="Times New Roman" w:hAnsi="Times New Roman"/>
          <w:sz w:val="26"/>
          <w:szCs w:val="26"/>
          <w:lang w:val="pt-BR"/>
        </w:rPr>
      </w:pPr>
      <w:r>
        <w:rPr>
          <w:rFonts w:ascii="Times New Roman" w:hAnsi="Times New Roman"/>
          <w:sz w:val="26"/>
          <w:szCs w:val="26"/>
          <w:lang w:val="pt-BR"/>
        </w:rPr>
        <w:tab/>
      </w:r>
      <w:r w:rsidR="00E72592" w:rsidRPr="00FA422C">
        <w:rPr>
          <w:rFonts w:ascii="Times New Roman" w:hAnsi="Times New Roman"/>
          <w:sz w:val="26"/>
          <w:szCs w:val="26"/>
          <w:lang w:val="pt-BR"/>
        </w:rPr>
        <w:t>Công tác khảo thí được thực hiện độc lập, trắc nghiệm khách quan trên máy tính với các câu hỏi được chọn từ ngân hàng các câu hỏi do Cục ATBXHN phát hành. Học viên sẽ nhận được kết quả ngay sau khi bấm nút kết thúc bài thi. Do tính chất quan trọng của hoạt động đảm bảo ATBX nên chỉ cấp phép cho một số cơ sở đủ năng lực thực hiện công tác khảo thí cấp chứng nhận.</w:t>
      </w:r>
    </w:p>
    <w:p w:rsidR="00E72592" w:rsidRDefault="008D7478" w:rsidP="008D7478">
      <w:pPr>
        <w:tabs>
          <w:tab w:val="left" w:pos="567"/>
        </w:tabs>
        <w:spacing w:before="120" w:after="120"/>
        <w:jc w:val="both"/>
        <w:rPr>
          <w:rFonts w:ascii="Times New Roman" w:hAnsi="Times New Roman"/>
          <w:sz w:val="26"/>
          <w:szCs w:val="26"/>
          <w:lang w:val="pt-BR"/>
        </w:rPr>
      </w:pPr>
      <w:r>
        <w:rPr>
          <w:rFonts w:ascii="Times New Roman" w:hAnsi="Times New Roman"/>
          <w:sz w:val="26"/>
          <w:szCs w:val="26"/>
          <w:lang w:val="pt-BR"/>
        </w:rPr>
        <w:tab/>
      </w:r>
      <w:r w:rsidR="00E72592" w:rsidRPr="00FA422C">
        <w:rPr>
          <w:rFonts w:ascii="Times New Roman" w:hAnsi="Times New Roman"/>
          <w:sz w:val="26"/>
          <w:szCs w:val="26"/>
          <w:lang w:val="pt-BR"/>
        </w:rPr>
        <w:t>Đề thi và tài liệu giảng dạy cần được chuẩn hóa để các cơ sở sử dụng, các cơ sở đào tạo được Cục ATBXHN cung cấp thông tin cập nhật các thay đổi về tài liệu và văn bản pháp luật phục vụ công tác giảng dạy ATBX</w:t>
      </w:r>
      <w:r w:rsidR="00B656C6">
        <w:rPr>
          <w:rFonts w:ascii="Times New Roman" w:hAnsi="Times New Roman"/>
          <w:sz w:val="26"/>
          <w:szCs w:val="26"/>
          <w:lang w:val="pt-BR"/>
        </w:rPr>
        <w:t>.</w:t>
      </w:r>
    </w:p>
    <w:p w:rsidR="00B763D6" w:rsidRPr="00FA422C" w:rsidRDefault="008D7478" w:rsidP="008D7478">
      <w:pPr>
        <w:tabs>
          <w:tab w:val="left" w:pos="567"/>
        </w:tabs>
        <w:spacing w:before="120" w:after="120"/>
        <w:jc w:val="both"/>
        <w:rPr>
          <w:rFonts w:ascii="Times New Roman" w:hAnsi="Times New Roman"/>
          <w:sz w:val="26"/>
          <w:szCs w:val="26"/>
          <w:lang w:val="pt-BR"/>
        </w:rPr>
      </w:pPr>
      <w:r>
        <w:rPr>
          <w:rFonts w:ascii="Times New Roman" w:hAnsi="Times New Roman"/>
          <w:sz w:val="26"/>
          <w:szCs w:val="26"/>
          <w:lang w:val="pt-BR"/>
        </w:rPr>
        <w:tab/>
      </w:r>
      <w:r w:rsidR="001D1158">
        <w:rPr>
          <w:rFonts w:ascii="Times New Roman" w:hAnsi="Times New Roman"/>
          <w:sz w:val="26"/>
          <w:szCs w:val="26"/>
          <w:lang w:val="pt-BR"/>
        </w:rPr>
        <w:t xml:space="preserve">Hiệu ứng ngẫu nhiên không gây hậu quả ngay lập tức và không dễ nhận biết hay xác định nguyên nhân do đó thường gây tâm lý chủ quan đối với nhân viên bức xạ, để nâng cao ý thức phòng tránh hiệu ứng ngẫu nhiên cần tăng cường công tác truyền thông, khung chương trình </w:t>
      </w:r>
      <w:r w:rsidR="00B763D6">
        <w:rPr>
          <w:rFonts w:ascii="Times New Roman" w:hAnsi="Times New Roman"/>
          <w:sz w:val="26"/>
          <w:szCs w:val="26"/>
          <w:lang w:val="pt-BR"/>
        </w:rPr>
        <w:t xml:space="preserve">đào tạo có thể điều chỉnh </w:t>
      </w:r>
      <w:r w:rsidR="001D1158">
        <w:rPr>
          <w:rFonts w:ascii="Times New Roman" w:hAnsi="Times New Roman"/>
          <w:sz w:val="26"/>
          <w:szCs w:val="26"/>
          <w:lang w:val="pt-BR"/>
        </w:rPr>
        <w:t>để nhấn mạnh hơn tầm quan trọng của hiệu ứng này trong công tác đảm</w:t>
      </w:r>
      <w:r w:rsidR="00B763D6">
        <w:rPr>
          <w:rFonts w:ascii="Times New Roman" w:hAnsi="Times New Roman"/>
          <w:sz w:val="26"/>
          <w:szCs w:val="26"/>
          <w:lang w:val="pt-BR"/>
        </w:rPr>
        <w:t xml:space="preserve"> bảo an toàn bức xạ và ion hóa.</w:t>
      </w:r>
    </w:p>
    <w:p w:rsidR="00E72592" w:rsidRPr="00FA422C" w:rsidRDefault="00E72592" w:rsidP="008E16DB">
      <w:pPr>
        <w:tabs>
          <w:tab w:val="left" w:pos="567"/>
        </w:tabs>
        <w:spacing w:before="120" w:after="120"/>
        <w:jc w:val="both"/>
        <w:rPr>
          <w:rFonts w:ascii="Times New Roman" w:hAnsi="Times New Roman"/>
          <w:b/>
          <w:sz w:val="26"/>
          <w:szCs w:val="26"/>
          <w:lang w:val="pt-BR"/>
        </w:rPr>
      </w:pPr>
      <w:r w:rsidRPr="00FA422C">
        <w:rPr>
          <w:rFonts w:ascii="Times New Roman" w:hAnsi="Times New Roman"/>
          <w:b/>
          <w:sz w:val="26"/>
          <w:szCs w:val="26"/>
          <w:lang w:val="pt-BR"/>
        </w:rPr>
        <w:t>Tài liệu tham khảo</w:t>
      </w:r>
    </w:p>
    <w:p w:rsidR="00E72592" w:rsidRPr="00AB1F33" w:rsidRDefault="00E72592" w:rsidP="00AB1F33">
      <w:pPr>
        <w:tabs>
          <w:tab w:val="left" w:pos="567"/>
        </w:tabs>
        <w:spacing w:before="120" w:after="120"/>
        <w:ind w:left="720" w:hanging="720"/>
        <w:jc w:val="both"/>
        <w:rPr>
          <w:rFonts w:ascii="Times New Roman" w:hAnsi="Times New Roman"/>
          <w:bCs/>
          <w:color w:val="000000"/>
          <w:szCs w:val="24"/>
          <w:lang w:val="pt-BR"/>
        </w:rPr>
      </w:pPr>
      <w:r w:rsidRPr="00AB1F33">
        <w:rPr>
          <w:rFonts w:ascii="Times New Roman" w:hAnsi="Times New Roman"/>
          <w:szCs w:val="24"/>
          <w:lang w:val="pt-BR"/>
        </w:rPr>
        <w:t xml:space="preserve">[1]. </w:t>
      </w:r>
      <w:r w:rsidRPr="00AB1F33">
        <w:rPr>
          <w:rFonts w:ascii="Times New Roman" w:hAnsi="Times New Roman"/>
          <w:bCs/>
          <w:color w:val="000000"/>
          <w:szCs w:val="24"/>
          <w:lang w:val="pt-BR"/>
        </w:rPr>
        <w:t>Quyết định số 64/CP ngày 26/4/1976 của Thủ tướng Chính phủ.</w:t>
      </w:r>
    </w:p>
    <w:p w:rsidR="00E72592" w:rsidRPr="00AB1F33" w:rsidRDefault="00E72592" w:rsidP="00AB1F33">
      <w:pPr>
        <w:widowControl w:val="0"/>
        <w:tabs>
          <w:tab w:val="left" w:pos="567"/>
        </w:tabs>
        <w:autoSpaceDE w:val="0"/>
        <w:autoSpaceDN w:val="0"/>
        <w:adjustRightInd w:val="0"/>
        <w:spacing w:before="120" w:after="120"/>
        <w:ind w:left="720" w:hanging="720"/>
        <w:jc w:val="both"/>
        <w:rPr>
          <w:rFonts w:ascii="Times New Roman" w:hAnsi="Times New Roman"/>
          <w:bCs/>
          <w:color w:val="000000"/>
          <w:szCs w:val="24"/>
          <w:lang w:val="pt-BR"/>
        </w:rPr>
      </w:pPr>
      <w:r w:rsidRPr="00AB1F33">
        <w:rPr>
          <w:rFonts w:ascii="Times New Roman" w:hAnsi="Times New Roman"/>
          <w:bCs/>
          <w:color w:val="000000"/>
          <w:szCs w:val="24"/>
          <w:lang w:val="pt-BR"/>
        </w:rPr>
        <w:t xml:space="preserve">[2]. </w:t>
      </w:r>
      <w:r w:rsidRPr="00AB1F33">
        <w:rPr>
          <w:rFonts w:ascii="Times New Roman" w:hAnsi="Times New Roman"/>
          <w:iCs/>
          <w:color w:val="000000"/>
          <w:spacing w:val="1"/>
          <w:szCs w:val="24"/>
          <w:lang w:val="pt-BR"/>
        </w:rPr>
        <w:t xml:space="preserve">Quyết định thành lập Trung tâm Đào tạo số </w:t>
      </w:r>
      <w:r w:rsidRPr="00AB1F33">
        <w:rPr>
          <w:rFonts w:ascii="Times New Roman" w:hAnsi="Times New Roman"/>
          <w:bCs/>
          <w:color w:val="000000"/>
          <w:szCs w:val="24"/>
          <w:lang w:val="pt-BR"/>
        </w:rPr>
        <w:t>212/QĐ-VNLNT ngày 5/8/1999.</w:t>
      </w:r>
    </w:p>
    <w:p w:rsidR="00E72592" w:rsidRPr="00AB1F33" w:rsidRDefault="00E72592" w:rsidP="00AB1F33">
      <w:pPr>
        <w:tabs>
          <w:tab w:val="left" w:pos="567"/>
        </w:tabs>
        <w:spacing w:before="120" w:after="120"/>
        <w:ind w:left="720" w:hanging="720"/>
        <w:jc w:val="both"/>
        <w:rPr>
          <w:rFonts w:ascii="Times New Roman" w:hAnsi="Times New Roman"/>
          <w:szCs w:val="24"/>
          <w:lang w:val="pt-BR"/>
        </w:rPr>
      </w:pPr>
      <w:r w:rsidRPr="00AB1F33">
        <w:rPr>
          <w:rFonts w:ascii="Times New Roman" w:hAnsi="Times New Roman"/>
          <w:bCs/>
          <w:color w:val="000000"/>
          <w:szCs w:val="24"/>
          <w:lang w:val="pt-BR"/>
        </w:rPr>
        <w:t xml:space="preserve">[3]. Nguyễn Nhị Điền (chủ biên), </w:t>
      </w:r>
      <w:r w:rsidRPr="00AB1F33">
        <w:rPr>
          <w:rFonts w:ascii="Times New Roman" w:hAnsi="Times New Roman"/>
          <w:szCs w:val="24"/>
          <w:lang w:val="pt-BR"/>
        </w:rPr>
        <w:t>Các bài giảng về an toàn bức xạ, tập 1: An toàn bức xạ trong y tế, Nhà xuất bản ĐHQGHN, 2015.</w:t>
      </w:r>
    </w:p>
    <w:p w:rsidR="00E72592" w:rsidRPr="00AB1F33" w:rsidRDefault="00E72592" w:rsidP="00AB1F33">
      <w:pPr>
        <w:tabs>
          <w:tab w:val="left" w:pos="567"/>
        </w:tabs>
        <w:spacing w:before="120" w:after="120"/>
        <w:ind w:left="720" w:hanging="720"/>
        <w:jc w:val="both"/>
        <w:rPr>
          <w:rFonts w:ascii="Times New Roman" w:hAnsi="Times New Roman"/>
          <w:szCs w:val="24"/>
          <w:lang w:val="pt-BR"/>
        </w:rPr>
      </w:pPr>
      <w:r w:rsidRPr="00AB1F33">
        <w:rPr>
          <w:rFonts w:ascii="Times New Roman" w:hAnsi="Times New Roman"/>
          <w:bCs/>
          <w:color w:val="000000"/>
          <w:szCs w:val="24"/>
          <w:lang w:val="pt-BR"/>
        </w:rPr>
        <w:t xml:space="preserve">[4]. Nguyễn Nhị Điền (chủ biên), </w:t>
      </w:r>
      <w:r w:rsidRPr="00AB1F33">
        <w:rPr>
          <w:rFonts w:ascii="Times New Roman" w:hAnsi="Times New Roman"/>
          <w:szCs w:val="24"/>
          <w:lang w:val="pt-BR"/>
        </w:rPr>
        <w:t>Các bài giảng về an toàn bức xạ, tập 2: An toàn bức xạ trong công nghiệp, nhà xuất bản ĐHQGHN, 2015.</w:t>
      </w:r>
    </w:p>
    <w:p w:rsidR="00E72592" w:rsidRPr="00AB1F33" w:rsidRDefault="00E72592" w:rsidP="00AB1F33">
      <w:pPr>
        <w:tabs>
          <w:tab w:val="left" w:pos="567"/>
        </w:tabs>
        <w:spacing w:before="120" w:after="120"/>
        <w:ind w:left="720" w:hanging="720"/>
        <w:jc w:val="both"/>
        <w:rPr>
          <w:rFonts w:ascii="Times New Roman" w:hAnsi="Times New Roman"/>
          <w:szCs w:val="24"/>
          <w:lang w:val="pt-BR"/>
        </w:rPr>
      </w:pPr>
      <w:r w:rsidRPr="00AB1F33">
        <w:rPr>
          <w:rFonts w:ascii="Times New Roman" w:hAnsi="Times New Roman"/>
          <w:szCs w:val="24"/>
          <w:lang w:val="pt-BR"/>
        </w:rPr>
        <w:t>[5]. Hồ sơ lưu trữ ĐTATBX 2015, 2016&amp; 2017, Trung tâm Đào tạo, Viện Nghiên cứu hạt nhân.</w:t>
      </w:r>
    </w:p>
    <w:p w:rsidR="00162A9A" w:rsidRPr="001D1158" w:rsidRDefault="00162A9A" w:rsidP="008E16DB">
      <w:pPr>
        <w:tabs>
          <w:tab w:val="left" w:pos="567"/>
        </w:tabs>
        <w:spacing w:before="120" w:after="120"/>
        <w:jc w:val="both"/>
        <w:rPr>
          <w:lang w:val="pt-BR"/>
        </w:rPr>
      </w:pPr>
    </w:p>
    <w:p w:rsidR="00162A9A" w:rsidRPr="001D1158" w:rsidRDefault="00162A9A" w:rsidP="008E16DB">
      <w:pPr>
        <w:tabs>
          <w:tab w:val="left" w:pos="567"/>
        </w:tabs>
        <w:spacing w:before="120" w:after="120"/>
        <w:jc w:val="both"/>
        <w:rPr>
          <w:lang w:val="pt-BR"/>
        </w:rPr>
      </w:pPr>
    </w:p>
    <w:p w:rsidR="00BA1062" w:rsidRDefault="00BA1062" w:rsidP="008E16DB">
      <w:pPr>
        <w:tabs>
          <w:tab w:val="left" w:pos="567"/>
        </w:tabs>
        <w:spacing w:before="120" w:after="120"/>
        <w:jc w:val="both"/>
        <w:rPr>
          <w:rFonts w:ascii="Times New Roman" w:hAnsi="Times New Roman"/>
          <w:sz w:val="26"/>
          <w:szCs w:val="26"/>
          <w:lang w:val="pt-BR"/>
        </w:rPr>
      </w:pPr>
    </w:p>
    <w:p w:rsidR="00BA1062" w:rsidRPr="001D1158" w:rsidRDefault="00BA1062" w:rsidP="008E16DB">
      <w:pPr>
        <w:tabs>
          <w:tab w:val="left" w:pos="567"/>
        </w:tabs>
        <w:spacing w:before="120" w:after="120"/>
        <w:jc w:val="both"/>
        <w:rPr>
          <w:lang w:val="pt-BR"/>
        </w:rPr>
      </w:pPr>
    </w:p>
    <w:p w:rsidR="009F3F89" w:rsidRPr="00EA04F0" w:rsidRDefault="009F3F89" w:rsidP="008E16DB">
      <w:pPr>
        <w:tabs>
          <w:tab w:val="left" w:pos="567"/>
        </w:tabs>
        <w:spacing w:before="120" w:after="120"/>
        <w:jc w:val="both"/>
        <w:rPr>
          <w:rFonts w:ascii="Times New Roman" w:hAnsi="Times New Roman"/>
          <w:sz w:val="26"/>
          <w:szCs w:val="26"/>
          <w:lang w:val="pt-BR"/>
        </w:rPr>
      </w:pPr>
    </w:p>
    <w:sectPr w:rsidR="009F3F89" w:rsidRPr="00EA04F0" w:rsidSect="003336CD">
      <w:footerReference w:type="even" r:id="rId17"/>
      <w:footerReference w:type="default" r:id="rId18"/>
      <w:pgSz w:w="11907" w:h="16840" w:code="9"/>
      <w:pgMar w:top="1134" w:right="1418" w:bottom="1134" w:left="1701" w:header="567" w:footer="90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1E2" w:rsidRDefault="00A701E2">
      <w:r>
        <w:separator/>
      </w:r>
    </w:p>
  </w:endnote>
  <w:endnote w:type="continuationSeparator" w:id="0">
    <w:p w:rsidR="00A701E2" w:rsidRDefault="00A7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FF" w:rsidRDefault="003449FF">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end"/>
    </w:r>
  </w:p>
  <w:p w:rsidR="003449FF" w:rsidRDefault="003449FF">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FF" w:rsidRDefault="003449FF">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1568B8">
      <w:rPr>
        <w:rStyle w:val="PageNumber"/>
        <w:rFonts w:ascii="Times New Roman" w:hAnsi="Times New Roman"/>
        <w:noProof/>
      </w:rPr>
      <w:t>1</w:t>
    </w:r>
    <w:r>
      <w:rPr>
        <w:rStyle w:val="PageNumber"/>
        <w:rFonts w:ascii="Times New Roman" w:hAnsi="Times New Roman"/>
      </w:rPr>
      <w:fldChar w:fldCharType="end"/>
    </w:r>
  </w:p>
  <w:p w:rsidR="003449FF" w:rsidRDefault="003449FF">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1E2" w:rsidRDefault="00A701E2">
      <w:r>
        <w:separator/>
      </w:r>
    </w:p>
  </w:footnote>
  <w:footnote w:type="continuationSeparator" w:id="0">
    <w:p w:rsidR="00A701E2" w:rsidRDefault="00A70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1BEE"/>
      </v:shape>
    </w:pict>
  </w:numPicBullet>
  <w:abstractNum w:abstractNumId="0">
    <w:nsid w:val="025643DC"/>
    <w:multiLevelType w:val="hybridMultilevel"/>
    <w:tmpl w:val="60424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B2ECA"/>
    <w:multiLevelType w:val="hybridMultilevel"/>
    <w:tmpl w:val="018EFBCA"/>
    <w:lvl w:ilvl="0" w:tplc="7D9C4F00">
      <w:start w:val="1"/>
      <w:numFmt w:val="decimal"/>
      <w:lvlText w:val="%1."/>
      <w:lvlJc w:val="left"/>
      <w:pPr>
        <w:tabs>
          <w:tab w:val="num" w:pos="464"/>
        </w:tabs>
        <w:ind w:left="464" w:hanging="360"/>
      </w:pPr>
      <w:rPr>
        <w:rFonts w:hint="default"/>
      </w:rPr>
    </w:lvl>
    <w:lvl w:ilvl="1" w:tplc="10090019" w:tentative="1">
      <w:start w:val="1"/>
      <w:numFmt w:val="lowerLetter"/>
      <w:lvlText w:val="%2."/>
      <w:lvlJc w:val="left"/>
      <w:pPr>
        <w:tabs>
          <w:tab w:val="num" w:pos="1184"/>
        </w:tabs>
        <w:ind w:left="1184" w:hanging="360"/>
      </w:pPr>
    </w:lvl>
    <w:lvl w:ilvl="2" w:tplc="1009001B" w:tentative="1">
      <w:start w:val="1"/>
      <w:numFmt w:val="lowerRoman"/>
      <w:lvlText w:val="%3."/>
      <w:lvlJc w:val="right"/>
      <w:pPr>
        <w:tabs>
          <w:tab w:val="num" w:pos="1904"/>
        </w:tabs>
        <w:ind w:left="1904" w:hanging="180"/>
      </w:pPr>
    </w:lvl>
    <w:lvl w:ilvl="3" w:tplc="1009000F" w:tentative="1">
      <w:start w:val="1"/>
      <w:numFmt w:val="decimal"/>
      <w:lvlText w:val="%4."/>
      <w:lvlJc w:val="left"/>
      <w:pPr>
        <w:tabs>
          <w:tab w:val="num" w:pos="2624"/>
        </w:tabs>
        <w:ind w:left="2624" w:hanging="360"/>
      </w:pPr>
    </w:lvl>
    <w:lvl w:ilvl="4" w:tplc="10090019" w:tentative="1">
      <w:start w:val="1"/>
      <w:numFmt w:val="lowerLetter"/>
      <w:lvlText w:val="%5."/>
      <w:lvlJc w:val="left"/>
      <w:pPr>
        <w:tabs>
          <w:tab w:val="num" w:pos="3344"/>
        </w:tabs>
        <w:ind w:left="3344" w:hanging="360"/>
      </w:pPr>
    </w:lvl>
    <w:lvl w:ilvl="5" w:tplc="1009001B" w:tentative="1">
      <w:start w:val="1"/>
      <w:numFmt w:val="lowerRoman"/>
      <w:lvlText w:val="%6."/>
      <w:lvlJc w:val="right"/>
      <w:pPr>
        <w:tabs>
          <w:tab w:val="num" w:pos="4064"/>
        </w:tabs>
        <w:ind w:left="4064" w:hanging="180"/>
      </w:pPr>
    </w:lvl>
    <w:lvl w:ilvl="6" w:tplc="1009000F" w:tentative="1">
      <w:start w:val="1"/>
      <w:numFmt w:val="decimal"/>
      <w:lvlText w:val="%7."/>
      <w:lvlJc w:val="left"/>
      <w:pPr>
        <w:tabs>
          <w:tab w:val="num" w:pos="4784"/>
        </w:tabs>
        <w:ind w:left="4784" w:hanging="360"/>
      </w:pPr>
    </w:lvl>
    <w:lvl w:ilvl="7" w:tplc="10090019" w:tentative="1">
      <w:start w:val="1"/>
      <w:numFmt w:val="lowerLetter"/>
      <w:lvlText w:val="%8."/>
      <w:lvlJc w:val="left"/>
      <w:pPr>
        <w:tabs>
          <w:tab w:val="num" w:pos="5504"/>
        </w:tabs>
        <w:ind w:left="5504" w:hanging="360"/>
      </w:pPr>
    </w:lvl>
    <w:lvl w:ilvl="8" w:tplc="1009001B" w:tentative="1">
      <w:start w:val="1"/>
      <w:numFmt w:val="lowerRoman"/>
      <w:lvlText w:val="%9."/>
      <w:lvlJc w:val="right"/>
      <w:pPr>
        <w:tabs>
          <w:tab w:val="num" w:pos="6224"/>
        </w:tabs>
        <w:ind w:left="6224" w:hanging="180"/>
      </w:pPr>
    </w:lvl>
  </w:abstractNum>
  <w:abstractNum w:abstractNumId="2">
    <w:nsid w:val="1CA80888"/>
    <w:multiLevelType w:val="hybridMultilevel"/>
    <w:tmpl w:val="E18A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24BCC"/>
    <w:multiLevelType w:val="multilevel"/>
    <w:tmpl w:val="7044654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27FD3E0D"/>
    <w:multiLevelType w:val="hybridMultilevel"/>
    <w:tmpl w:val="56D209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1902E9"/>
    <w:multiLevelType w:val="hybridMultilevel"/>
    <w:tmpl w:val="9F888E80"/>
    <w:lvl w:ilvl="0" w:tplc="93FC92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B9506C"/>
    <w:multiLevelType w:val="hybridMultilevel"/>
    <w:tmpl w:val="238C30C2"/>
    <w:lvl w:ilvl="0" w:tplc="E5F20A62">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4F97168F"/>
    <w:multiLevelType w:val="hybridMultilevel"/>
    <w:tmpl w:val="65A292B8"/>
    <w:lvl w:ilvl="0" w:tplc="8F46E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60567D48"/>
    <w:multiLevelType w:val="hybridMultilevel"/>
    <w:tmpl w:val="7044654C"/>
    <w:lvl w:ilvl="0" w:tplc="E2240D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BD6137"/>
    <w:multiLevelType w:val="hybridMultilevel"/>
    <w:tmpl w:val="6E6C88F0"/>
    <w:lvl w:ilvl="0" w:tplc="AC280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AD1269"/>
    <w:multiLevelType w:val="hybridMultilevel"/>
    <w:tmpl w:val="72C8BC0A"/>
    <w:lvl w:ilvl="0" w:tplc="C8002D4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6CA6FDD"/>
    <w:multiLevelType w:val="hybridMultilevel"/>
    <w:tmpl w:val="7044654C"/>
    <w:lvl w:ilvl="0" w:tplc="E2240D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D54469"/>
    <w:multiLevelType w:val="hybridMultilevel"/>
    <w:tmpl w:val="82B86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14"/>
  </w:num>
  <w:num w:numId="4">
    <w:abstractNumId w:val="12"/>
  </w:num>
  <w:num w:numId="5">
    <w:abstractNumId w:val="6"/>
  </w:num>
  <w:num w:numId="6">
    <w:abstractNumId w:val="5"/>
  </w:num>
  <w:num w:numId="7">
    <w:abstractNumId w:val="4"/>
  </w:num>
  <w:num w:numId="8">
    <w:abstractNumId w:val="10"/>
  </w:num>
  <w:num w:numId="9">
    <w:abstractNumId w:val="0"/>
  </w:num>
  <w:num w:numId="10">
    <w:abstractNumId w:val="9"/>
  </w:num>
  <w:num w:numId="11">
    <w:abstractNumId w:val="17"/>
  </w:num>
  <w:num w:numId="12">
    <w:abstractNumId w:val="7"/>
  </w:num>
  <w:num w:numId="13">
    <w:abstractNumId w:val="11"/>
  </w:num>
  <w:num w:numId="14">
    <w:abstractNumId w:val="19"/>
  </w:num>
  <w:num w:numId="15">
    <w:abstractNumId w:val="16"/>
  </w:num>
  <w:num w:numId="16">
    <w:abstractNumId w:val="1"/>
  </w:num>
  <w:num w:numId="17">
    <w:abstractNumId w:val="2"/>
  </w:num>
  <w:num w:numId="18">
    <w:abstractNumId w:val="8"/>
  </w:num>
  <w:num w:numId="19">
    <w:abstractNumId w:val="18"/>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C5"/>
    <w:rsid w:val="0000016F"/>
    <w:rsid w:val="00002659"/>
    <w:rsid w:val="00007396"/>
    <w:rsid w:val="000204F6"/>
    <w:rsid w:val="00021296"/>
    <w:rsid w:val="000218DC"/>
    <w:rsid w:val="0002209D"/>
    <w:rsid w:val="00033473"/>
    <w:rsid w:val="00034724"/>
    <w:rsid w:val="00041A0B"/>
    <w:rsid w:val="00045DB8"/>
    <w:rsid w:val="00046F03"/>
    <w:rsid w:val="00047F5B"/>
    <w:rsid w:val="000512C6"/>
    <w:rsid w:val="00053257"/>
    <w:rsid w:val="00054C54"/>
    <w:rsid w:val="000563D1"/>
    <w:rsid w:val="000663E4"/>
    <w:rsid w:val="00066E2E"/>
    <w:rsid w:val="00070070"/>
    <w:rsid w:val="00074225"/>
    <w:rsid w:val="00075C13"/>
    <w:rsid w:val="000852BD"/>
    <w:rsid w:val="00087335"/>
    <w:rsid w:val="00092F65"/>
    <w:rsid w:val="000960A6"/>
    <w:rsid w:val="000A51E5"/>
    <w:rsid w:val="000A5B05"/>
    <w:rsid w:val="000B23D2"/>
    <w:rsid w:val="000B3C7F"/>
    <w:rsid w:val="000C13D5"/>
    <w:rsid w:val="000C141A"/>
    <w:rsid w:val="000C2B83"/>
    <w:rsid w:val="000C4D13"/>
    <w:rsid w:val="000C6DEA"/>
    <w:rsid w:val="000D109B"/>
    <w:rsid w:val="000D2DE3"/>
    <w:rsid w:val="000E082E"/>
    <w:rsid w:val="000E3E07"/>
    <w:rsid w:val="000E5194"/>
    <w:rsid w:val="000F382D"/>
    <w:rsid w:val="000F6859"/>
    <w:rsid w:val="00107700"/>
    <w:rsid w:val="001134D3"/>
    <w:rsid w:val="0011689E"/>
    <w:rsid w:val="00120FAF"/>
    <w:rsid w:val="001238DD"/>
    <w:rsid w:val="001249B4"/>
    <w:rsid w:val="001270BF"/>
    <w:rsid w:val="00132F8F"/>
    <w:rsid w:val="00134651"/>
    <w:rsid w:val="00137718"/>
    <w:rsid w:val="001378B3"/>
    <w:rsid w:val="001471C7"/>
    <w:rsid w:val="00147CDD"/>
    <w:rsid w:val="001560E8"/>
    <w:rsid w:val="001568B8"/>
    <w:rsid w:val="00156F7E"/>
    <w:rsid w:val="00161EF3"/>
    <w:rsid w:val="00162541"/>
    <w:rsid w:val="001627B1"/>
    <w:rsid w:val="00162A9A"/>
    <w:rsid w:val="00166D87"/>
    <w:rsid w:val="001716D7"/>
    <w:rsid w:val="001736A6"/>
    <w:rsid w:val="001736D0"/>
    <w:rsid w:val="0018001D"/>
    <w:rsid w:val="00186155"/>
    <w:rsid w:val="00193793"/>
    <w:rsid w:val="00193B61"/>
    <w:rsid w:val="00195BEE"/>
    <w:rsid w:val="001A3C17"/>
    <w:rsid w:val="001A5D58"/>
    <w:rsid w:val="001A67E0"/>
    <w:rsid w:val="001A768E"/>
    <w:rsid w:val="001B4182"/>
    <w:rsid w:val="001B6818"/>
    <w:rsid w:val="001C59BC"/>
    <w:rsid w:val="001C5E15"/>
    <w:rsid w:val="001C616E"/>
    <w:rsid w:val="001C6812"/>
    <w:rsid w:val="001C68D0"/>
    <w:rsid w:val="001D1158"/>
    <w:rsid w:val="001D2BC9"/>
    <w:rsid w:val="001D63DC"/>
    <w:rsid w:val="001E254A"/>
    <w:rsid w:val="001E549F"/>
    <w:rsid w:val="001E7ECC"/>
    <w:rsid w:val="001F0BC9"/>
    <w:rsid w:val="001F6ABD"/>
    <w:rsid w:val="00200AE8"/>
    <w:rsid w:val="002013C3"/>
    <w:rsid w:val="00201F54"/>
    <w:rsid w:val="002034E0"/>
    <w:rsid w:val="00204EA0"/>
    <w:rsid w:val="00206977"/>
    <w:rsid w:val="00210D00"/>
    <w:rsid w:val="00210D1C"/>
    <w:rsid w:val="002139C7"/>
    <w:rsid w:val="00216327"/>
    <w:rsid w:val="00216E7D"/>
    <w:rsid w:val="002201C4"/>
    <w:rsid w:val="00221274"/>
    <w:rsid w:val="00222301"/>
    <w:rsid w:val="002255CA"/>
    <w:rsid w:val="002257C1"/>
    <w:rsid w:val="00225D41"/>
    <w:rsid w:val="002260A3"/>
    <w:rsid w:val="00226402"/>
    <w:rsid w:val="002265AB"/>
    <w:rsid w:val="00232612"/>
    <w:rsid w:val="002437F0"/>
    <w:rsid w:val="002444ED"/>
    <w:rsid w:val="002445FA"/>
    <w:rsid w:val="0024585F"/>
    <w:rsid w:val="00245CA8"/>
    <w:rsid w:val="0024705A"/>
    <w:rsid w:val="00247BC3"/>
    <w:rsid w:val="00252ABD"/>
    <w:rsid w:val="00252C5E"/>
    <w:rsid w:val="00260F35"/>
    <w:rsid w:val="00273970"/>
    <w:rsid w:val="00281530"/>
    <w:rsid w:val="0029460F"/>
    <w:rsid w:val="002A0766"/>
    <w:rsid w:val="002B07F7"/>
    <w:rsid w:val="002B1937"/>
    <w:rsid w:val="002B26FB"/>
    <w:rsid w:val="002B59E3"/>
    <w:rsid w:val="002B5DCF"/>
    <w:rsid w:val="002D08C0"/>
    <w:rsid w:val="002D35DF"/>
    <w:rsid w:val="002D493A"/>
    <w:rsid w:val="002D6029"/>
    <w:rsid w:val="002E19BE"/>
    <w:rsid w:val="002E2D1E"/>
    <w:rsid w:val="002E44F4"/>
    <w:rsid w:val="002F2B9C"/>
    <w:rsid w:val="002F33E5"/>
    <w:rsid w:val="00300FD6"/>
    <w:rsid w:val="00305EF8"/>
    <w:rsid w:val="00306B5D"/>
    <w:rsid w:val="00307022"/>
    <w:rsid w:val="00310B7C"/>
    <w:rsid w:val="00314192"/>
    <w:rsid w:val="00324684"/>
    <w:rsid w:val="003267A8"/>
    <w:rsid w:val="003270E7"/>
    <w:rsid w:val="00327871"/>
    <w:rsid w:val="00331502"/>
    <w:rsid w:val="003336CD"/>
    <w:rsid w:val="00337960"/>
    <w:rsid w:val="00341A7A"/>
    <w:rsid w:val="003426A5"/>
    <w:rsid w:val="003449FF"/>
    <w:rsid w:val="00345F04"/>
    <w:rsid w:val="00347786"/>
    <w:rsid w:val="00352F85"/>
    <w:rsid w:val="0035512D"/>
    <w:rsid w:val="00355CE7"/>
    <w:rsid w:val="00356168"/>
    <w:rsid w:val="00363674"/>
    <w:rsid w:val="00366A28"/>
    <w:rsid w:val="0037023D"/>
    <w:rsid w:val="0037051E"/>
    <w:rsid w:val="0037211C"/>
    <w:rsid w:val="00374188"/>
    <w:rsid w:val="00374D7D"/>
    <w:rsid w:val="00375F58"/>
    <w:rsid w:val="003813AF"/>
    <w:rsid w:val="003836A8"/>
    <w:rsid w:val="00384CE0"/>
    <w:rsid w:val="003910AC"/>
    <w:rsid w:val="0039276C"/>
    <w:rsid w:val="003939A1"/>
    <w:rsid w:val="00393E56"/>
    <w:rsid w:val="00394121"/>
    <w:rsid w:val="003A7E66"/>
    <w:rsid w:val="003B1E94"/>
    <w:rsid w:val="003B1FDD"/>
    <w:rsid w:val="003B54AB"/>
    <w:rsid w:val="003B7EB6"/>
    <w:rsid w:val="003C1E52"/>
    <w:rsid w:val="003C4A48"/>
    <w:rsid w:val="003C65C6"/>
    <w:rsid w:val="003D456E"/>
    <w:rsid w:val="003E1BEB"/>
    <w:rsid w:val="003E6799"/>
    <w:rsid w:val="003F6182"/>
    <w:rsid w:val="003F6B06"/>
    <w:rsid w:val="0040035E"/>
    <w:rsid w:val="00400EDE"/>
    <w:rsid w:val="00407173"/>
    <w:rsid w:val="004079A2"/>
    <w:rsid w:val="00407A42"/>
    <w:rsid w:val="00417D2C"/>
    <w:rsid w:val="004214FB"/>
    <w:rsid w:val="004240B9"/>
    <w:rsid w:val="00430687"/>
    <w:rsid w:val="004360FB"/>
    <w:rsid w:val="0043710E"/>
    <w:rsid w:val="00441117"/>
    <w:rsid w:val="00450763"/>
    <w:rsid w:val="0045246D"/>
    <w:rsid w:val="00455501"/>
    <w:rsid w:val="004558FE"/>
    <w:rsid w:val="00455E7E"/>
    <w:rsid w:val="0046573A"/>
    <w:rsid w:val="00465E7C"/>
    <w:rsid w:val="00493948"/>
    <w:rsid w:val="00494880"/>
    <w:rsid w:val="00496B26"/>
    <w:rsid w:val="004B37BE"/>
    <w:rsid w:val="004B6C06"/>
    <w:rsid w:val="004C0D54"/>
    <w:rsid w:val="004D3B5F"/>
    <w:rsid w:val="004D5A1C"/>
    <w:rsid w:val="004D77C8"/>
    <w:rsid w:val="004D7A96"/>
    <w:rsid w:val="004E7417"/>
    <w:rsid w:val="004F09A3"/>
    <w:rsid w:val="004F3B37"/>
    <w:rsid w:val="0050367B"/>
    <w:rsid w:val="005036C2"/>
    <w:rsid w:val="00511589"/>
    <w:rsid w:val="0051215B"/>
    <w:rsid w:val="00513120"/>
    <w:rsid w:val="00520C03"/>
    <w:rsid w:val="00523252"/>
    <w:rsid w:val="0052555A"/>
    <w:rsid w:val="0053480D"/>
    <w:rsid w:val="00542B0D"/>
    <w:rsid w:val="00545F37"/>
    <w:rsid w:val="005511F4"/>
    <w:rsid w:val="00554C56"/>
    <w:rsid w:val="00561D1D"/>
    <w:rsid w:val="0056296E"/>
    <w:rsid w:val="00563EAE"/>
    <w:rsid w:val="00570AC5"/>
    <w:rsid w:val="0057285C"/>
    <w:rsid w:val="005743BF"/>
    <w:rsid w:val="00582B91"/>
    <w:rsid w:val="00583B3D"/>
    <w:rsid w:val="005859A2"/>
    <w:rsid w:val="00587FE1"/>
    <w:rsid w:val="00590025"/>
    <w:rsid w:val="00593C03"/>
    <w:rsid w:val="00597C91"/>
    <w:rsid w:val="005A0691"/>
    <w:rsid w:val="005A20F9"/>
    <w:rsid w:val="005A5A66"/>
    <w:rsid w:val="005A66FA"/>
    <w:rsid w:val="005A7F29"/>
    <w:rsid w:val="005A7FBE"/>
    <w:rsid w:val="005B3556"/>
    <w:rsid w:val="005B4D88"/>
    <w:rsid w:val="005C4D98"/>
    <w:rsid w:val="005C50D4"/>
    <w:rsid w:val="005C5A18"/>
    <w:rsid w:val="005C6586"/>
    <w:rsid w:val="005D0B72"/>
    <w:rsid w:val="005D3FFA"/>
    <w:rsid w:val="005D715C"/>
    <w:rsid w:val="005F00A3"/>
    <w:rsid w:val="005F0AED"/>
    <w:rsid w:val="005F2591"/>
    <w:rsid w:val="00601429"/>
    <w:rsid w:val="00601DC2"/>
    <w:rsid w:val="00602CA7"/>
    <w:rsid w:val="00605230"/>
    <w:rsid w:val="006104C5"/>
    <w:rsid w:val="00611E36"/>
    <w:rsid w:val="006177E9"/>
    <w:rsid w:val="0062046B"/>
    <w:rsid w:val="00620A05"/>
    <w:rsid w:val="006237F3"/>
    <w:rsid w:val="00624BE9"/>
    <w:rsid w:val="00624C3C"/>
    <w:rsid w:val="00636B88"/>
    <w:rsid w:val="00641AFD"/>
    <w:rsid w:val="00643DB3"/>
    <w:rsid w:val="0065621F"/>
    <w:rsid w:val="0066252A"/>
    <w:rsid w:val="00667273"/>
    <w:rsid w:val="00667CCD"/>
    <w:rsid w:val="00672A92"/>
    <w:rsid w:val="00677400"/>
    <w:rsid w:val="006802C8"/>
    <w:rsid w:val="00690C8A"/>
    <w:rsid w:val="00691235"/>
    <w:rsid w:val="006927D6"/>
    <w:rsid w:val="0069431B"/>
    <w:rsid w:val="0069661F"/>
    <w:rsid w:val="006A14D8"/>
    <w:rsid w:val="006A188D"/>
    <w:rsid w:val="006A35DC"/>
    <w:rsid w:val="006A58A4"/>
    <w:rsid w:val="006A5EBC"/>
    <w:rsid w:val="006B07D5"/>
    <w:rsid w:val="006B2FB5"/>
    <w:rsid w:val="006B455F"/>
    <w:rsid w:val="006B5859"/>
    <w:rsid w:val="006B6BEC"/>
    <w:rsid w:val="006B7836"/>
    <w:rsid w:val="006C1C10"/>
    <w:rsid w:val="006C2967"/>
    <w:rsid w:val="006C304B"/>
    <w:rsid w:val="006C30A3"/>
    <w:rsid w:val="006C6F03"/>
    <w:rsid w:val="006C7819"/>
    <w:rsid w:val="006D0E2B"/>
    <w:rsid w:val="006D17B7"/>
    <w:rsid w:val="006D363A"/>
    <w:rsid w:val="006F06B8"/>
    <w:rsid w:val="007007FC"/>
    <w:rsid w:val="00702EB3"/>
    <w:rsid w:val="00704EA1"/>
    <w:rsid w:val="007133BF"/>
    <w:rsid w:val="00714963"/>
    <w:rsid w:val="00724ADD"/>
    <w:rsid w:val="00730993"/>
    <w:rsid w:val="00730CFA"/>
    <w:rsid w:val="00741CE6"/>
    <w:rsid w:val="007437AA"/>
    <w:rsid w:val="00747107"/>
    <w:rsid w:val="00756083"/>
    <w:rsid w:val="007574B3"/>
    <w:rsid w:val="0076419B"/>
    <w:rsid w:val="007666F9"/>
    <w:rsid w:val="00767CE4"/>
    <w:rsid w:val="00771BBC"/>
    <w:rsid w:val="00771FFE"/>
    <w:rsid w:val="007721FF"/>
    <w:rsid w:val="00772D84"/>
    <w:rsid w:val="007815DD"/>
    <w:rsid w:val="0078598B"/>
    <w:rsid w:val="00787317"/>
    <w:rsid w:val="0078744A"/>
    <w:rsid w:val="00796DB9"/>
    <w:rsid w:val="00796ED5"/>
    <w:rsid w:val="00796EDF"/>
    <w:rsid w:val="007A0F67"/>
    <w:rsid w:val="007A14FB"/>
    <w:rsid w:val="007A2EBD"/>
    <w:rsid w:val="007A35D7"/>
    <w:rsid w:val="007A6108"/>
    <w:rsid w:val="007B3492"/>
    <w:rsid w:val="007B4150"/>
    <w:rsid w:val="007B4EC3"/>
    <w:rsid w:val="007B539D"/>
    <w:rsid w:val="007B53E4"/>
    <w:rsid w:val="007B6F03"/>
    <w:rsid w:val="007C2683"/>
    <w:rsid w:val="007C2CE6"/>
    <w:rsid w:val="007C7D09"/>
    <w:rsid w:val="007D2AC9"/>
    <w:rsid w:val="007D38A1"/>
    <w:rsid w:val="007D591E"/>
    <w:rsid w:val="007D6757"/>
    <w:rsid w:val="007E016F"/>
    <w:rsid w:val="007E0FB2"/>
    <w:rsid w:val="007F0BEF"/>
    <w:rsid w:val="007F3DD1"/>
    <w:rsid w:val="007F40B6"/>
    <w:rsid w:val="007F47DF"/>
    <w:rsid w:val="0080248C"/>
    <w:rsid w:val="008069E1"/>
    <w:rsid w:val="00807951"/>
    <w:rsid w:val="00815CCE"/>
    <w:rsid w:val="008237C0"/>
    <w:rsid w:val="008261E1"/>
    <w:rsid w:val="008268E5"/>
    <w:rsid w:val="008270DA"/>
    <w:rsid w:val="008270DB"/>
    <w:rsid w:val="00833727"/>
    <w:rsid w:val="008436CB"/>
    <w:rsid w:val="00843E98"/>
    <w:rsid w:val="0084505D"/>
    <w:rsid w:val="00845671"/>
    <w:rsid w:val="00852330"/>
    <w:rsid w:val="0086061A"/>
    <w:rsid w:val="0086263C"/>
    <w:rsid w:val="00865ACA"/>
    <w:rsid w:val="00865DED"/>
    <w:rsid w:val="00867EF0"/>
    <w:rsid w:val="0087328E"/>
    <w:rsid w:val="00875B2F"/>
    <w:rsid w:val="00875DCB"/>
    <w:rsid w:val="00877123"/>
    <w:rsid w:val="008831EC"/>
    <w:rsid w:val="00886A31"/>
    <w:rsid w:val="008879A8"/>
    <w:rsid w:val="00887BE5"/>
    <w:rsid w:val="00893282"/>
    <w:rsid w:val="008953C3"/>
    <w:rsid w:val="00895EB2"/>
    <w:rsid w:val="008971D6"/>
    <w:rsid w:val="008A28CB"/>
    <w:rsid w:val="008B43E8"/>
    <w:rsid w:val="008B634D"/>
    <w:rsid w:val="008B744E"/>
    <w:rsid w:val="008C4ED8"/>
    <w:rsid w:val="008C5F8C"/>
    <w:rsid w:val="008D1BC3"/>
    <w:rsid w:val="008D6254"/>
    <w:rsid w:val="008D69A2"/>
    <w:rsid w:val="008D6B38"/>
    <w:rsid w:val="008D7478"/>
    <w:rsid w:val="008D79CB"/>
    <w:rsid w:val="008E16DB"/>
    <w:rsid w:val="008E4E4A"/>
    <w:rsid w:val="008E58D8"/>
    <w:rsid w:val="008E661D"/>
    <w:rsid w:val="008F0D57"/>
    <w:rsid w:val="008F1BA2"/>
    <w:rsid w:val="008F7D72"/>
    <w:rsid w:val="00901AC3"/>
    <w:rsid w:val="00902938"/>
    <w:rsid w:val="0090316F"/>
    <w:rsid w:val="00906411"/>
    <w:rsid w:val="00910F84"/>
    <w:rsid w:val="00913D74"/>
    <w:rsid w:val="0092293B"/>
    <w:rsid w:val="00923900"/>
    <w:rsid w:val="00924E62"/>
    <w:rsid w:val="009254BD"/>
    <w:rsid w:val="00943F35"/>
    <w:rsid w:val="00946377"/>
    <w:rsid w:val="00947A3A"/>
    <w:rsid w:val="009551C7"/>
    <w:rsid w:val="00956C58"/>
    <w:rsid w:val="00963668"/>
    <w:rsid w:val="00966A93"/>
    <w:rsid w:val="00966F68"/>
    <w:rsid w:val="00971635"/>
    <w:rsid w:val="009724D5"/>
    <w:rsid w:val="0097607B"/>
    <w:rsid w:val="00984AD1"/>
    <w:rsid w:val="00986EA2"/>
    <w:rsid w:val="009876BF"/>
    <w:rsid w:val="0098775D"/>
    <w:rsid w:val="009916A5"/>
    <w:rsid w:val="00996D35"/>
    <w:rsid w:val="009A432A"/>
    <w:rsid w:val="009B114C"/>
    <w:rsid w:val="009B34C3"/>
    <w:rsid w:val="009B37F6"/>
    <w:rsid w:val="009B6958"/>
    <w:rsid w:val="009B7C68"/>
    <w:rsid w:val="009C3DD7"/>
    <w:rsid w:val="009C6150"/>
    <w:rsid w:val="009D0A2B"/>
    <w:rsid w:val="009D0F35"/>
    <w:rsid w:val="009D2BD9"/>
    <w:rsid w:val="009D5953"/>
    <w:rsid w:val="009E0C7F"/>
    <w:rsid w:val="009E72CC"/>
    <w:rsid w:val="009F3F89"/>
    <w:rsid w:val="009F53C0"/>
    <w:rsid w:val="009F7D9C"/>
    <w:rsid w:val="00A0344E"/>
    <w:rsid w:val="00A03B5B"/>
    <w:rsid w:val="00A03D16"/>
    <w:rsid w:val="00A05FC9"/>
    <w:rsid w:val="00A11997"/>
    <w:rsid w:val="00A12E87"/>
    <w:rsid w:val="00A13E71"/>
    <w:rsid w:val="00A20309"/>
    <w:rsid w:val="00A20A0F"/>
    <w:rsid w:val="00A26766"/>
    <w:rsid w:val="00A26A6D"/>
    <w:rsid w:val="00A271F0"/>
    <w:rsid w:val="00A306D0"/>
    <w:rsid w:val="00A35A3A"/>
    <w:rsid w:val="00A35BA1"/>
    <w:rsid w:val="00A406B1"/>
    <w:rsid w:val="00A42153"/>
    <w:rsid w:val="00A474A2"/>
    <w:rsid w:val="00A52692"/>
    <w:rsid w:val="00A532C3"/>
    <w:rsid w:val="00A55999"/>
    <w:rsid w:val="00A55F7A"/>
    <w:rsid w:val="00A651FA"/>
    <w:rsid w:val="00A701E2"/>
    <w:rsid w:val="00A707DB"/>
    <w:rsid w:val="00A7511A"/>
    <w:rsid w:val="00A778FD"/>
    <w:rsid w:val="00A77AE3"/>
    <w:rsid w:val="00A84583"/>
    <w:rsid w:val="00A86B81"/>
    <w:rsid w:val="00A92923"/>
    <w:rsid w:val="00A95608"/>
    <w:rsid w:val="00A97BA6"/>
    <w:rsid w:val="00AA139A"/>
    <w:rsid w:val="00AB0393"/>
    <w:rsid w:val="00AB0B21"/>
    <w:rsid w:val="00AB1833"/>
    <w:rsid w:val="00AB1F33"/>
    <w:rsid w:val="00AB2367"/>
    <w:rsid w:val="00AB5B5D"/>
    <w:rsid w:val="00AC1F34"/>
    <w:rsid w:val="00AC6389"/>
    <w:rsid w:val="00AD19E5"/>
    <w:rsid w:val="00AD1ED5"/>
    <w:rsid w:val="00AD5500"/>
    <w:rsid w:val="00AE6EA8"/>
    <w:rsid w:val="00AF4730"/>
    <w:rsid w:val="00AF6EDE"/>
    <w:rsid w:val="00B02F13"/>
    <w:rsid w:val="00B04BEE"/>
    <w:rsid w:val="00B131F6"/>
    <w:rsid w:val="00B2376C"/>
    <w:rsid w:val="00B35A69"/>
    <w:rsid w:val="00B378CE"/>
    <w:rsid w:val="00B419E0"/>
    <w:rsid w:val="00B4341C"/>
    <w:rsid w:val="00B443B6"/>
    <w:rsid w:val="00B45602"/>
    <w:rsid w:val="00B51EAB"/>
    <w:rsid w:val="00B53577"/>
    <w:rsid w:val="00B53689"/>
    <w:rsid w:val="00B53A30"/>
    <w:rsid w:val="00B53DF2"/>
    <w:rsid w:val="00B565BA"/>
    <w:rsid w:val="00B57447"/>
    <w:rsid w:val="00B60471"/>
    <w:rsid w:val="00B60EB6"/>
    <w:rsid w:val="00B61D98"/>
    <w:rsid w:val="00B64D39"/>
    <w:rsid w:val="00B656C6"/>
    <w:rsid w:val="00B67D4A"/>
    <w:rsid w:val="00B75CA5"/>
    <w:rsid w:val="00B763D6"/>
    <w:rsid w:val="00B82600"/>
    <w:rsid w:val="00B86673"/>
    <w:rsid w:val="00B86BED"/>
    <w:rsid w:val="00B90FD7"/>
    <w:rsid w:val="00B9235B"/>
    <w:rsid w:val="00B93380"/>
    <w:rsid w:val="00BA1062"/>
    <w:rsid w:val="00BA5595"/>
    <w:rsid w:val="00BA733E"/>
    <w:rsid w:val="00BA771B"/>
    <w:rsid w:val="00BB311A"/>
    <w:rsid w:val="00BC6818"/>
    <w:rsid w:val="00BD31BE"/>
    <w:rsid w:val="00BD4E23"/>
    <w:rsid w:val="00BD5725"/>
    <w:rsid w:val="00BD5D2E"/>
    <w:rsid w:val="00BE02BF"/>
    <w:rsid w:val="00BE0FB9"/>
    <w:rsid w:val="00BF19D4"/>
    <w:rsid w:val="00BF6B94"/>
    <w:rsid w:val="00BF7D66"/>
    <w:rsid w:val="00C01BA5"/>
    <w:rsid w:val="00C0221F"/>
    <w:rsid w:val="00C05F38"/>
    <w:rsid w:val="00C06AF6"/>
    <w:rsid w:val="00C10C30"/>
    <w:rsid w:val="00C170DB"/>
    <w:rsid w:val="00C170F6"/>
    <w:rsid w:val="00C22CE5"/>
    <w:rsid w:val="00C27602"/>
    <w:rsid w:val="00C30863"/>
    <w:rsid w:val="00C405EC"/>
    <w:rsid w:val="00C451C2"/>
    <w:rsid w:val="00C6371B"/>
    <w:rsid w:val="00C72317"/>
    <w:rsid w:val="00C74B88"/>
    <w:rsid w:val="00C8131C"/>
    <w:rsid w:val="00C90F0B"/>
    <w:rsid w:val="00C91372"/>
    <w:rsid w:val="00C94DC5"/>
    <w:rsid w:val="00C9757C"/>
    <w:rsid w:val="00CA5371"/>
    <w:rsid w:val="00CA5CD4"/>
    <w:rsid w:val="00CA7A08"/>
    <w:rsid w:val="00CB0BFF"/>
    <w:rsid w:val="00CB10A1"/>
    <w:rsid w:val="00CB1E43"/>
    <w:rsid w:val="00CB4033"/>
    <w:rsid w:val="00CB6104"/>
    <w:rsid w:val="00CC19F5"/>
    <w:rsid w:val="00CC4131"/>
    <w:rsid w:val="00CD12DE"/>
    <w:rsid w:val="00CD162D"/>
    <w:rsid w:val="00CD2BE9"/>
    <w:rsid w:val="00CE2022"/>
    <w:rsid w:val="00CE38BA"/>
    <w:rsid w:val="00CE7470"/>
    <w:rsid w:val="00CF5120"/>
    <w:rsid w:val="00CF7C80"/>
    <w:rsid w:val="00D01170"/>
    <w:rsid w:val="00D02EDD"/>
    <w:rsid w:val="00D1187B"/>
    <w:rsid w:val="00D132D6"/>
    <w:rsid w:val="00D2065E"/>
    <w:rsid w:val="00D250C6"/>
    <w:rsid w:val="00D26912"/>
    <w:rsid w:val="00D32AEF"/>
    <w:rsid w:val="00D34A59"/>
    <w:rsid w:val="00D42C2A"/>
    <w:rsid w:val="00D45FA2"/>
    <w:rsid w:val="00D477FE"/>
    <w:rsid w:val="00D477FF"/>
    <w:rsid w:val="00D52030"/>
    <w:rsid w:val="00D52722"/>
    <w:rsid w:val="00D53B76"/>
    <w:rsid w:val="00D55618"/>
    <w:rsid w:val="00D5762D"/>
    <w:rsid w:val="00D61999"/>
    <w:rsid w:val="00D6406B"/>
    <w:rsid w:val="00D64B83"/>
    <w:rsid w:val="00D671AE"/>
    <w:rsid w:val="00D7022F"/>
    <w:rsid w:val="00D71461"/>
    <w:rsid w:val="00D722E2"/>
    <w:rsid w:val="00D74B31"/>
    <w:rsid w:val="00D75540"/>
    <w:rsid w:val="00D81D42"/>
    <w:rsid w:val="00D82843"/>
    <w:rsid w:val="00D97B67"/>
    <w:rsid w:val="00DA19D4"/>
    <w:rsid w:val="00DA2BF1"/>
    <w:rsid w:val="00DA66C7"/>
    <w:rsid w:val="00DA7883"/>
    <w:rsid w:val="00DB5FC5"/>
    <w:rsid w:val="00DC2D17"/>
    <w:rsid w:val="00DC313B"/>
    <w:rsid w:val="00DC5DBB"/>
    <w:rsid w:val="00DC66A5"/>
    <w:rsid w:val="00DC7522"/>
    <w:rsid w:val="00DD07F6"/>
    <w:rsid w:val="00DD4C4C"/>
    <w:rsid w:val="00DD7368"/>
    <w:rsid w:val="00DE0876"/>
    <w:rsid w:val="00DE1BF7"/>
    <w:rsid w:val="00DE5122"/>
    <w:rsid w:val="00DE5181"/>
    <w:rsid w:val="00DE5E58"/>
    <w:rsid w:val="00DF521B"/>
    <w:rsid w:val="00DF5FBB"/>
    <w:rsid w:val="00DF7AEC"/>
    <w:rsid w:val="00E006C8"/>
    <w:rsid w:val="00E01168"/>
    <w:rsid w:val="00E02070"/>
    <w:rsid w:val="00E03549"/>
    <w:rsid w:val="00E15C6B"/>
    <w:rsid w:val="00E20A7B"/>
    <w:rsid w:val="00E218BC"/>
    <w:rsid w:val="00E22538"/>
    <w:rsid w:val="00E24C26"/>
    <w:rsid w:val="00E26EF7"/>
    <w:rsid w:val="00E37068"/>
    <w:rsid w:val="00E41B7E"/>
    <w:rsid w:val="00E426F3"/>
    <w:rsid w:val="00E44086"/>
    <w:rsid w:val="00E44AED"/>
    <w:rsid w:val="00E56600"/>
    <w:rsid w:val="00E607F6"/>
    <w:rsid w:val="00E60BC5"/>
    <w:rsid w:val="00E62F45"/>
    <w:rsid w:val="00E65048"/>
    <w:rsid w:val="00E723DC"/>
    <w:rsid w:val="00E72592"/>
    <w:rsid w:val="00E74D7A"/>
    <w:rsid w:val="00E75D08"/>
    <w:rsid w:val="00E75DDF"/>
    <w:rsid w:val="00E80445"/>
    <w:rsid w:val="00E81513"/>
    <w:rsid w:val="00E85ADB"/>
    <w:rsid w:val="00E9184E"/>
    <w:rsid w:val="00E957B4"/>
    <w:rsid w:val="00E9699C"/>
    <w:rsid w:val="00E96B7F"/>
    <w:rsid w:val="00E97524"/>
    <w:rsid w:val="00EA04F0"/>
    <w:rsid w:val="00EA2A01"/>
    <w:rsid w:val="00EA428B"/>
    <w:rsid w:val="00EB5C2C"/>
    <w:rsid w:val="00EB7E7E"/>
    <w:rsid w:val="00EC121A"/>
    <w:rsid w:val="00EC2281"/>
    <w:rsid w:val="00EC2A64"/>
    <w:rsid w:val="00EC4FE6"/>
    <w:rsid w:val="00EC7E92"/>
    <w:rsid w:val="00ED1690"/>
    <w:rsid w:val="00ED2B83"/>
    <w:rsid w:val="00ED3169"/>
    <w:rsid w:val="00ED6BF2"/>
    <w:rsid w:val="00EE2C09"/>
    <w:rsid w:val="00EF265E"/>
    <w:rsid w:val="00EF28B7"/>
    <w:rsid w:val="00EF5CC9"/>
    <w:rsid w:val="00F00C0C"/>
    <w:rsid w:val="00F05839"/>
    <w:rsid w:val="00F05BB2"/>
    <w:rsid w:val="00F11166"/>
    <w:rsid w:val="00F116D5"/>
    <w:rsid w:val="00F11EBB"/>
    <w:rsid w:val="00F2089D"/>
    <w:rsid w:val="00F20C16"/>
    <w:rsid w:val="00F270AE"/>
    <w:rsid w:val="00F27FED"/>
    <w:rsid w:val="00F320F1"/>
    <w:rsid w:val="00F34322"/>
    <w:rsid w:val="00F46070"/>
    <w:rsid w:val="00F50204"/>
    <w:rsid w:val="00F5183E"/>
    <w:rsid w:val="00F52484"/>
    <w:rsid w:val="00F53CDE"/>
    <w:rsid w:val="00F5555F"/>
    <w:rsid w:val="00F562F5"/>
    <w:rsid w:val="00F6115A"/>
    <w:rsid w:val="00F623C7"/>
    <w:rsid w:val="00F62E7B"/>
    <w:rsid w:val="00F62EA1"/>
    <w:rsid w:val="00F668CC"/>
    <w:rsid w:val="00F80AE3"/>
    <w:rsid w:val="00F839E4"/>
    <w:rsid w:val="00F85D10"/>
    <w:rsid w:val="00F91301"/>
    <w:rsid w:val="00F940DD"/>
    <w:rsid w:val="00F970A9"/>
    <w:rsid w:val="00F975B9"/>
    <w:rsid w:val="00FB32A0"/>
    <w:rsid w:val="00FB4A1A"/>
    <w:rsid w:val="00FB54BA"/>
    <w:rsid w:val="00FC1BB6"/>
    <w:rsid w:val="00FC56A6"/>
    <w:rsid w:val="00FC5FB1"/>
    <w:rsid w:val="00FC67FA"/>
    <w:rsid w:val="00FE0597"/>
    <w:rsid w:val="00FE3C42"/>
    <w:rsid w:val="00FF0099"/>
    <w:rsid w:val="00FF17BE"/>
    <w:rsid w:val="00FF2F60"/>
    <w:rsid w:val="00FF4198"/>
    <w:rsid w:val="00FF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F54"/>
    <w:rPr>
      <w:rFonts w:ascii=".VnTime" w:hAnsi=".VnTime"/>
      <w:sz w:val="24"/>
    </w:rPr>
  </w:style>
  <w:style w:type="paragraph" w:styleId="Heading1">
    <w:name w:val="heading 1"/>
    <w:basedOn w:val="Normal"/>
    <w:next w:val="Normal"/>
    <w:qFormat/>
    <w:rsid w:val="00E97524"/>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E975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97524"/>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97524"/>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7524"/>
    <w:pPr>
      <w:tabs>
        <w:tab w:val="center" w:pos="4320"/>
        <w:tab w:val="right" w:pos="8640"/>
      </w:tabs>
    </w:pPr>
  </w:style>
  <w:style w:type="character" w:styleId="PageNumber">
    <w:name w:val="page number"/>
    <w:basedOn w:val="DefaultParagraphFont"/>
    <w:rsid w:val="00E97524"/>
  </w:style>
  <w:style w:type="paragraph" w:styleId="BalloonText">
    <w:name w:val="Balloon Text"/>
    <w:basedOn w:val="Normal"/>
    <w:semiHidden/>
    <w:rsid w:val="00E97524"/>
    <w:rPr>
      <w:rFonts w:ascii="Tahoma" w:hAnsi="Tahoma" w:cs="Tahoma"/>
      <w:sz w:val="16"/>
      <w:szCs w:val="16"/>
    </w:rPr>
  </w:style>
  <w:style w:type="paragraph" w:styleId="BodyText">
    <w:name w:val="Body Text"/>
    <w:basedOn w:val="Normal"/>
    <w:rsid w:val="00E97524"/>
    <w:pPr>
      <w:jc w:val="both"/>
    </w:pPr>
    <w:rPr>
      <w:rFonts w:ascii="Times New Roman" w:hAnsi="Times New Roman"/>
    </w:rPr>
  </w:style>
  <w:style w:type="paragraph" w:styleId="BodyTextIndent">
    <w:name w:val="Body Text Indent"/>
    <w:basedOn w:val="Normal"/>
    <w:rsid w:val="00E97524"/>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ListParagraph">
    <w:name w:val="List Paragraph"/>
    <w:basedOn w:val="Normal"/>
    <w:uiPriority w:val="34"/>
    <w:qFormat/>
    <w:rsid w:val="00807951"/>
    <w:pPr>
      <w:ind w:left="720"/>
      <w:contextualSpacing/>
    </w:pPr>
  </w:style>
  <w:style w:type="character" w:customStyle="1" w:styleId="apple-converted-space">
    <w:name w:val="apple-converted-space"/>
    <w:basedOn w:val="DefaultParagraphFont"/>
    <w:rsid w:val="009B114C"/>
  </w:style>
  <w:style w:type="character" w:styleId="Strong">
    <w:name w:val="Strong"/>
    <w:basedOn w:val="DefaultParagraphFont"/>
    <w:qFormat/>
    <w:rsid w:val="00366A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F54"/>
    <w:rPr>
      <w:rFonts w:ascii=".VnTime" w:hAnsi=".VnTime"/>
      <w:sz w:val="24"/>
    </w:rPr>
  </w:style>
  <w:style w:type="paragraph" w:styleId="Heading1">
    <w:name w:val="heading 1"/>
    <w:basedOn w:val="Normal"/>
    <w:next w:val="Normal"/>
    <w:qFormat/>
    <w:rsid w:val="00E97524"/>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E975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97524"/>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97524"/>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7524"/>
    <w:pPr>
      <w:tabs>
        <w:tab w:val="center" w:pos="4320"/>
        <w:tab w:val="right" w:pos="8640"/>
      </w:tabs>
    </w:pPr>
  </w:style>
  <w:style w:type="character" w:styleId="PageNumber">
    <w:name w:val="page number"/>
    <w:basedOn w:val="DefaultParagraphFont"/>
    <w:rsid w:val="00E97524"/>
  </w:style>
  <w:style w:type="paragraph" w:styleId="BalloonText">
    <w:name w:val="Balloon Text"/>
    <w:basedOn w:val="Normal"/>
    <w:semiHidden/>
    <w:rsid w:val="00E97524"/>
    <w:rPr>
      <w:rFonts w:ascii="Tahoma" w:hAnsi="Tahoma" w:cs="Tahoma"/>
      <w:sz w:val="16"/>
      <w:szCs w:val="16"/>
    </w:rPr>
  </w:style>
  <w:style w:type="paragraph" w:styleId="BodyText">
    <w:name w:val="Body Text"/>
    <w:basedOn w:val="Normal"/>
    <w:rsid w:val="00E97524"/>
    <w:pPr>
      <w:jc w:val="both"/>
    </w:pPr>
    <w:rPr>
      <w:rFonts w:ascii="Times New Roman" w:hAnsi="Times New Roman"/>
    </w:rPr>
  </w:style>
  <w:style w:type="paragraph" w:styleId="BodyTextIndent">
    <w:name w:val="Body Text Indent"/>
    <w:basedOn w:val="Normal"/>
    <w:rsid w:val="00E97524"/>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ListParagraph">
    <w:name w:val="List Paragraph"/>
    <w:basedOn w:val="Normal"/>
    <w:uiPriority w:val="34"/>
    <w:qFormat/>
    <w:rsid w:val="00807951"/>
    <w:pPr>
      <w:ind w:left="720"/>
      <w:contextualSpacing/>
    </w:pPr>
  </w:style>
  <w:style w:type="character" w:customStyle="1" w:styleId="apple-converted-space">
    <w:name w:val="apple-converted-space"/>
    <w:basedOn w:val="DefaultParagraphFont"/>
    <w:rsid w:val="009B114C"/>
  </w:style>
  <w:style w:type="character" w:styleId="Strong">
    <w:name w:val="Strong"/>
    <w:basedOn w:val="DefaultParagraphFont"/>
    <w:qFormat/>
    <w:rsid w:val="00366A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76902855">
      <w:bodyDiv w:val="1"/>
      <w:marLeft w:val="0"/>
      <w:marRight w:val="0"/>
      <w:marTop w:val="0"/>
      <w:marBottom w:val="0"/>
      <w:divBdr>
        <w:top w:val="none" w:sz="0" w:space="0" w:color="auto"/>
        <w:left w:val="none" w:sz="0" w:space="0" w:color="auto"/>
        <w:bottom w:val="none" w:sz="0" w:space="0" w:color="auto"/>
        <w:right w:val="none" w:sz="0" w:space="0" w:color="auto"/>
      </w:divBdr>
    </w:div>
    <w:div w:id="377364239">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 w:id="884607755">
      <w:bodyDiv w:val="1"/>
      <w:marLeft w:val="0"/>
      <w:marRight w:val="0"/>
      <w:marTop w:val="0"/>
      <w:marBottom w:val="0"/>
      <w:divBdr>
        <w:top w:val="none" w:sz="0" w:space="0" w:color="auto"/>
        <w:left w:val="none" w:sz="0" w:space="0" w:color="auto"/>
        <w:bottom w:val="none" w:sz="0" w:space="0" w:color="auto"/>
        <w:right w:val="none" w:sz="0" w:space="0" w:color="auto"/>
      </w:divBdr>
    </w:div>
    <w:div w:id="962153064">
      <w:bodyDiv w:val="1"/>
      <w:marLeft w:val="0"/>
      <w:marRight w:val="0"/>
      <w:marTop w:val="0"/>
      <w:marBottom w:val="0"/>
      <w:divBdr>
        <w:top w:val="none" w:sz="0" w:space="0" w:color="auto"/>
        <w:left w:val="none" w:sz="0" w:space="0" w:color="auto"/>
        <w:bottom w:val="none" w:sz="0" w:space="0" w:color="auto"/>
        <w:right w:val="none" w:sz="0" w:space="0" w:color="auto"/>
      </w:divBdr>
    </w:div>
    <w:div w:id="1043679227">
      <w:bodyDiv w:val="1"/>
      <w:marLeft w:val="0"/>
      <w:marRight w:val="0"/>
      <w:marTop w:val="0"/>
      <w:marBottom w:val="0"/>
      <w:divBdr>
        <w:top w:val="none" w:sz="0" w:space="0" w:color="auto"/>
        <w:left w:val="none" w:sz="0" w:space="0" w:color="auto"/>
        <w:bottom w:val="none" w:sz="0" w:space="0" w:color="auto"/>
        <w:right w:val="none" w:sz="0" w:space="0" w:color="auto"/>
      </w:divBdr>
    </w:div>
    <w:div w:id="1140853022">
      <w:bodyDiv w:val="1"/>
      <w:marLeft w:val="0"/>
      <w:marRight w:val="0"/>
      <w:marTop w:val="0"/>
      <w:marBottom w:val="0"/>
      <w:divBdr>
        <w:top w:val="none" w:sz="0" w:space="0" w:color="auto"/>
        <w:left w:val="none" w:sz="0" w:space="0" w:color="auto"/>
        <w:bottom w:val="none" w:sz="0" w:space="0" w:color="auto"/>
        <w:right w:val="none" w:sz="0" w:space="0" w:color="auto"/>
      </w:divBdr>
    </w:div>
    <w:div w:id="1161240550">
      <w:bodyDiv w:val="1"/>
      <w:marLeft w:val="0"/>
      <w:marRight w:val="0"/>
      <w:marTop w:val="0"/>
      <w:marBottom w:val="0"/>
      <w:divBdr>
        <w:top w:val="none" w:sz="0" w:space="0" w:color="auto"/>
        <w:left w:val="none" w:sz="0" w:space="0" w:color="auto"/>
        <w:bottom w:val="none" w:sz="0" w:space="0" w:color="auto"/>
        <w:right w:val="none" w:sz="0" w:space="0" w:color="auto"/>
      </w:divBdr>
    </w:div>
    <w:div w:id="169988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3.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24E5913-895F-4DCC-AA0E-060197BE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1587</Words>
  <Characters>9051</Characters>
  <Application>Microsoft Office Word</Application>
  <DocSecurity>0</DocSecurity>
  <Lines>75</Lines>
  <Paragraphs>21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BỘ KHOA HỌC VÀ CÔNG NGHỆ</vt:lpstr>
      <vt:lpstr>BỘ KHOA HỌC VÀ CÔNG NGHỆ</vt:lpstr>
    </vt:vector>
  </TitlesOfParts>
  <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Windows xp sp2 Full</dc:creator>
  <cp:lastModifiedBy>User</cp:lastModifiedBy>
  <cp:revision>2</cp:revision>
  <cp:lastPrinted>2013-11-05T08:02:00Z</cp:lastPrinted>
  <dcterms:created xsi:type="dcterms:W3CDTF">2018-05-28T02:06:00Z</dcterms:created>
  <dcterms:modified xsi:type="dcterms:W3CDTF">2018-05-28T02:06:00Z</dcterms:modified>
</cp:coreProperties>
</file>